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D4FD7">
      <w:pPr>
        <w:jc w:val="center"/>
        <w:rPr>
          <w:rFonts w:hint="default" w:ascii="Times New Roman" w:hAnsi="Times New Roman" w:eastAsia="方正小标宋_GBK" w:cs="Times New Roman"/>
          <w:sz w:val="52"/>
          <w:szCs w:val="52"/>
          <w:highlight w:val="none"/>
        </w:rPr>
      </w:pPr>
    </w:p>
    <w:p w14:paraId="101DC1DA">
      <w:pPr>
        <w:jc w:val="center"/>
        <w:rPr>
          <w:rFonts w:hint="default" w:ascii="Times New Roman" w:hAnsi="Times New Roman" w:eastAsia="方正小标宋_GBK" w:cs="Times New Roman"/>
          <w:sz w:val="52"/>
          <w:szCs w:val="52"/>
          <w:highlight w:val="none"/>
        </w:rPr>
      </w:pPr>
    </w:p>
    <w:p w14:paraId="49E8A9F6">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岳阳市国资委</w:t>
      </w:r>
    </w:p>
    <w:p w14:paraId="74BF148F">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eastAsia="zh-CN"/>
        </w:rPr>
        <w:t>部门</w:t>
      </w:r>
      <w:r>
        <w:rPr>
          <w:rFonts w:hint="eastAsia" w:ascii="方正小标宋简体" w:hAnsi="方正小标宋简体" w:eastAsia="方正小标宋简体" w:cs="方正小标宋简体"/>
          <w:sz w:val="44"/>
          <w:szCs w:val="44"/>
          <w:highlight w:val="none"/>
        </w:rPr>
        <w:t>整体支出绩效自评报告</w:t>
      </w:r>
    </w:p>
    <w:p w14:paraId="3A4529C8">
      <w:pPr>
        <w:jc w:val="center"/>
        <w:rPr>
          <w:rFonts w:hint="default" w:ascii="Times New Roman" w:hAnsi="Times New Roman" w:eastAsia="方正小标宋_GBK" w:cs="Times New Roman"/>
          <w:b/>
          <w:sz w:val="52"/>
          <w:szCs w:val="52"/>
          <w:highlight w:val="none"/>
        </w:rPr>
      </w:pPr>
    </w:p>
    <w:p w14:paraId="246DAACF">
      <w:pPr>
        <w:jc w:val="center"/>
        <w:rPr>
          <w:rFonts w:hint="default" w:ascii="Times New Roman" w:hAnsi="Times New Roman" w:eastAsia="楷体_GB2312" w:cs="Times New Roman"/>
          <w:b/>
          <w:sz w:val="32"/>
          <w:szCs w:val="32"/>
          <w:highlight w:val="none"/>
        </w:rPr>
      </w:pPr>
    </w:p>
    <w:p w14:paraId="1B0BB508">
      <w:pPr>
        <w:jc w:val="center"/>
        <w:rPr>
          <w:rFonts w:hint="default" w:ascii="Times New Roman" w:hAnsi="Times New Roman" w:eastAsia="楷体_GB2312" w:cs="Times New Roman"/>
          <w:b/>
          <w:sz w:val="32"/>
          <w:szCs w:val="32"/>
          <w:highlight w:val="none"/>
        </w:rPr>
      </w:pPr>
    </w:p>
    <w:p w14:paraId="006E2357">
      <w:pPr>
        <w:jc w:val="center"/>
        <w:rPr>
          <w:rFonts w:hint="default" w:ascii="Times New Roman" w:hAnsi="Times New Roman" w:eastAsia="楷体_GB2312" w:cs="Times New Roman"/>
          <w:b/>
          <w:sz w:val="32"/>
          <w:szCs w:val="32"/>
          <w:highlight w:val="none"/>
        </w:rPr>
      </w:pPr>
    </w:p>
    <w:p w14:paraId="042928BF">
      <w:pPr>
        <w:jc w:val="center"/>
        <w:rPr>
          <w:rFonts w:hint="default" w:ascii="Times New Roman" w:hAnsi="Times New Roman" w:eastAsia="楷体_GB2312" w:cs="Times New Roman"/>
          <w:b/>
          <w:sz w:val="32"/>
          <w:szCs w:val="32"/>
          <w:highlight w:val="none"/>
        </w:rPr>
      </w:pPr>
    </w:p>
    <w:p w14:paraId="4A3471BF">
      <w:pPr>
        <w:jc w:val="center"/>
        <w:rPr>
          <w:rFonts w:hint="default" w:ascii="Times New Roman" w:hAnsi="Times New Roman" w:eastAsia="楷体_GB2312" w:cs="Times New Roman"/>
          <w:b/>
          <w:sz w:val="32"/>
          <w:szCs w:val="32"/>
          <w:highlight w:val="none"/>
        </w:rPr>
      </w:pPr>
    </w:p>
    <w:p w14:paraId="1DBD61BE">
      <w:pPr>
        <w:jc w:val="center"/>
        <w:rPr>
          <w:rFonts w:hint="default" w:ascii="Times New Roman" w:hAnsi="Times New Roman" w:eastAsia="楷体_GB2312" w:cs="Times New Roman"/>
          <w:b/>
          <w:sz w:val="32"/>
          <w:szCs w:val="32"/>
          <w:highlight w:val="none"/>
        </w:rPr>
      </w:pPr>
    </w:p>
    <w:p w14:paraId="3611F8BF">
      <w:pPr>
        <w:jc w:val="center"/>
        <w:rPr>
          <w:rFonts w:hint="default" w:ascii="Times New Roman" w:hAnsi="Times New Roman" w:eastAsia="黑体" w:cs="Times New Roman"/>
          <w:sz w:val="32"/>
          <w:szCs w:val="32"/>
          <w:highlight w:val="none"/>
        </w:rPr>
      </w:pPr>
    </w:p>
    <w:p w14:paraId="15322A66">
      <w:pPr>
        <w:jc w:val="center"/>
        <w:rPr>
          <w:rFonts w:hint="default" w:ascii="Times New Roman" w:hAnsi="Times New Roman" w:eastAsia="黑体" w:cs="Times New Roman"/>
          <w:sz w:val="32"/>
          <w:szCs w:val="32"/>
          <w:highlight w:val="none"/>
        </w:rPr>
      </w:pPr>
    </w:p>
    <w:p w14:paraId="526EB01C">
      <w:pPr>
        <w:jc w:val="center"/>
        <w:rPr>
          <w:rFonts w:hint="default" w:ascii="Times New Roman" w:hAnsi="Times New Roman" w:eastAsia="黑体" w:cs="Times New Roman"/>
          <w:sz w:val="32"/>
          <w:szCs w:val="32"/>
          <w:highlight w:val="none"/>
        </w:rPr>
      </w:pPr>
    </w:p>
    <w:p w14:paraId="23B26577">
      <w:pPr>
        <w:jc w:val="both"/>
        <w:rPr>
          <w:rFonts w:hint="default" w:ascii="Times New Roman" w:hAnsi="Times New Roman" w:eastAsia="黑体" w:cs="Times New Roman"/>
          <w:sz w:val="32"/>
          <w:szCs w:val="32"/>
          <w:highlight w:val="none"/>
        </w:rPr>
      </w:pPr>
    </w:p>
    <w:p w14:paraId="4863AC14">
      <w:pPr>
        <w:jc w:val="center"/>
        <w:rPr>
          <w:rFonts w:hint="default" w:ascii="Times New Roman" w:hAnsi="Times New Roman" w:eastAsia="黑体" w:cs="Times New Roman"/>
          <w:sz w:val="32"/>
          <w:szCs w:val="32"/>
          <w:highlight w:val="none"/>
        </w:rPr>
      </w:pPr>
    </w:p>
    <w:p w14:paraId="13326D3D">
      <w:pPr>
        <w:jc w:val="center"/>
        <w:rPr>
          <w:rFonts w:hint="default" w:ascii="Times New Roman" w:hAnsi="Times New Roman" w:eastAsia="黑体" w:cs="Times New Roman"/>
          <w:sz w:val="32"/>
          <w:szCs w:val="32"/>
          <w:highlight w:val="none"/>
        </w:rPr>
      </w:pPr>
    </w:p>
    <w:p w14:paraId="56F7B1E7">
      <w:pPr>
        <w:jc w:val="center"/>
        <w:rPr>
          <w:rFonts w:hint="default" w:ascii="Times New Roman" w:hAnsi="Times New Roman" w:eastAsia="黑体" w:cs="Times New Roman"/>
          <w:sz w:val="32"/>
          <w:szCs w:val="32"/>
          <w:highlight w:val="none"/>
        </w:rPr>
      </w:pPr>
    </w:p>
    <w:p w14:paraId="60B9A9D1">
      <w:pPr>
        <w:spacing w:line="600" w:lineRule="exact"/>
        <w:ind w:firstLine="1280" w:firstLineChars="400"/>
        <w:jc w:val="both"/>
        <w:rPr>
          <w:rFonts w:hint="default" w:ascii="Times New Roman" w:hAnsi="Times New Roman" w:eastAsia="仿宋_GB2312" w:cs="Times New Roman"/>
          <w:sz w:val="32"/>
          <w:szCs w:val="32"/>
          <w:highlight w:val="none"/>
          <w:u w:val="single"/>
          <w:lang w:val="en-US" w:eastAsia="zh-CN"/>
        </w:rPr>
      </w:pPr>
      <w:r>
        <w:rPr>
          <w:rFonts w:hint="default" w:ascii="Times New Roman" w:hAnsi="Times New Roman" w:eastAsia="仿宋_GB2312" w:cs="Times New Roman"/>
          <w:sz w:val="32"/>
          <w:szCs w:val="32"/>
          <w:highlight w:val="none"/>
        </w:rPr>
        <w:t>部门（单位）名称：</w:t>
      </w:r>
      <w:r>
        <w:rPr>
          <w:rFonts w:hint="eastAsia" w:ascii="Times New Roman" w:hAnsi="Times New Roman" w:eastAsia="仿宋_GB2312" w:cs="Times New Roman"/>
          <w:sz w:val="32"/>
          <w:szCs w:val="32"/>
          <w:highlight w:val="none"/>
          <w:u w:val="single"/>
          <w:lang w:val="en-US" w:eastAsia="zh-CN"/>
        </w:rPr>
        <w:t xml:space="preserve">  （盖章） </w:t>
      </w:r>
    </w:p>
    <w:p w14:paraId="22B0AA8B">
      <w:pPr>
        <w:spacing w:line="600" w:lineRule="exact"/>
        <w:jc w:val="center"/>
        <w:rPr>
          <w:rFonts w:hint="default"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lang w:val="en-US" w:eastAsia="zh-CN"/>
        </w:rPr>
        <w:t xml:space="preserve">2024 </w:t>
      </w:r>
      <w:r>
        <w:rPr>
          <w:rFonts w:hint="default" w:ascii="Times New Roman" w:hAnsi="Times New Roman" w:eastAsia="楷体_GB2312" w:cs="Times New Roman"/>
          <w:sz w:val="32"/>
          <w:szCs w:val="32"/>
          <w:highlight w:val="none"/>
        </w:rPr>
        <w:t xml:space="preserve">年 </w:t>
      </w:r>
      <w:r>
        <w:rPr>
          <w:rFonts w:hint="eastAsia" w:ascii="Times New Roman" w:hAnsi="Times New Roman"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 xml:space="preserve"> 月 </w:t>
      </w:r>
      <w:r>
        <w:rPr>
          <w:rFonts w:hint="eastAsia" w:ascii="Times New Roman" w:hAnsi="Times New Roman" w:eastAsia="楷体_GB2312" w:cs="Times New Roman"/>
          <w:sz w:val="32"/>
          <w:szCs w:val="32"/>
          <w:highlight w:val="none"/>
          <w:lang w:val="en-US" w:eastAsia="zh-CN"/>
        </w:rPr>
        <w:t>30</w:t>
      </w:r>
      <w:r>
        <w:rPr>
          <w:rFonts w:hint="default" w:ascii="Times New Roman" w:hAnsi="Times New Roman" w:eastAsia="楷体_GB2312" w:cs="Times New Roman"/>
          <w:sz w:val="32"/>
          <w:szCs w:val="32"/>
          <w:highlight w:val="none"/>
        </w:rPr>
        <w:t xml:space="preserve"> 日</w:t>
      </w:r>
    </w:p>
    <w:p w14:paraId="6C875B03">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75ED7E0E">
      <w:pPr>
        <w:jc w:val="center"/>
        <w:rPr>
          <w:rFonts w:hint="eastAsia" w:ascii="方正小标宋简体" w:hAnsi="方正小标宋简体" w:eastAsia="方正小标宋简体" w:cs="方正小标宋简体"/>
          <w:sz w:val="44"/>
          <w:szCs w:val="44"/>
          <w:highlight w:val="none"/>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岳阳市国资委</w:t>
      </w:r>
      <w:r>
        <w:rPr>
          <w:rFonts w:hint="eastAsia" w:ascii="方正小标宋简体" w:hAnsi="方正小标宋简体" w:eastAsia="方正小标宋简体" w:cs="方正小标宋简体"/>
          <w:sz w:val="44"/>
          <w:szCs w:val="44"/>
          <w:highlight w:val="none"/>
        </w:rPr>
        <w:t>部门</w:t>
      </w:r>
    </w:p>
    <w:p w14:paraId="076A5616">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14:paraId="07AAB230">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51291917">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部门基本情况</w:t>
      </w:r>
    </w:p>
    <w:p w14:paraId="78D77065">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ascii="仿宋" w:hAnsi="仿宋" w:eastAsia="仿宋"/>
          <w:sz w:val="32"/>
          <w:szCs w:val="32"/>
        </w:rPr>
      </w:pPr>
      <w:r>
        <w:rPr>
          <w:rFonts w:hint="eastAsia" w:eastAsia="仿宋"/>
          <w:sz w:val="32"/>
          <w:szCs w:val="32"/>
          <w:lang w:eastAsia="zh-CN"/>
        </w:rPr>
        <w:t>岳阳市国资</w:t>
      </w:r>
      <w:r>
        <w:rPr>
          <w:rFonts w:hint="eastAsia" w:ascii="仿宋" w:hAnsi="仿宋" w:eastAsia="仿宋"/>
          <w:sz w:val="32"/>
          <w:szCs w:val="32"/>
        </w:rPr>
        <w:t>委</w:t>
      </w:r>
      <w:r>
        <w:rPr>
          <w:rFonts w:hint="eastAsia" w:ascii="仿宋" w:hAnsi="仿宋" w:eastAsia="仿宋"/>
          <w:color w:val="000000"/>
          <w:sz w:val="32"/>
          <w:szCs w:val="32"/>
        </w:rPr>
        <w:t>是2006年11月经岳阳市人民政府批准，2007年4月28日正式挂牌成立的市政府直属的唯一特设机构，主要是代表政府履行国有资产出资人职责</w:t>
      </w:r>
      <w:r>
        <w:rPr>
          <w:rFonts w:hint="eastAsia" w:ascii="仿宋" w:hAnsi="仿宋" w:eastAsia="仿宋"/>
          <w:sz w:val="32"/>
          <w:szCs w:val="32"/>
        </w:rPr>
        <w:t>。预算机构是委机关本级，正处级单位，是财政预算全额拨款单位。</w:t>
      </w:r>
    </w:p>
    <w:p w14:paraId="69076B09">
      <w:pPr>
        <w:ind w:firstLine="643" w:firstLineChars="200"/>
        <w:rPr>
          <w:rFonts w:ascii="楷体" w:hAnsi="楷体" w:eastAsia="楷体"/>
          <w:b/>
          <w:sz w:val="32"/>
          <w:szCs w:val="32"/>
        </w:rPr>
      </w:pPr>
      <w:r>
        <w:rPr>
          <w:rFonts w:hint="eastAsia" w:ascii="楷体" w:hAnsi="楷体" w:eastAsia="楷体"/>
          <w:b/>
          <w:sz w:val="32"/>
          <w:szCs w:val="32"/>
        </w:rPr>
        <w:t xml:space="preserve">1、在职人员情况 </w:t>
      </w:r>
    </w:p>
    <w:p w14:paraId="2AB50E30">
      <w:pPr>
        <w:ind w:firstLine="640" w:firstLineChars="200"/>
        <w:rPr>
          <w:rFonts w:ascii="仿宋" w:hAnsi="仿宋" w:eastAsia="仿宋"/>
          <w:sz w:val="32"/>
          <w:szCs w:val="32"/>
          <w:u w:val="single"/>
        </w:rPr>
      </w:pPr>
      <w:r>
        <w:rPr>
          <w:rFonts w:hint="eastAsia" w:ascii="仿宋_GB2312" w:eastAsia="仿宋_GB2312"/>
          <w:sz w:val="32"/>
          <w:szCs w:val="32"/>
        </w:rPr>
        <w:t xml:space="preserve"> </w:t>
      </w:r>
      <w:r>
        <w:rPr>
          <w:rFonts w:hint="eastAsia" w:ascii="仿宋" w:hAnsi="仿宋" w:eastAsia="仿宋"/>
          <w:sz w:val="32"/>
          <w:szCs w:val="32"/>
        </w:rPr>
        <w:t>202</w:t>
      </w:r>
      <w:r>
        <w:rPr>
          <w:rFonts w:hint="eastAsia" w:eastAsia="仿宋"/>
          <w:sz w:val="32"/>
          <w:szCs w:val="32"/>
          <w:lang w:val="en-US" w:eastAsia="zh-CN"/>
        </w:rPr>
        <w:t>3</w:t>
      </w:r>
      <w:r>
        <w:rPr>
          <w:rFonts w:hint="eastAsia" w:ascii="仿宋" w:hAnsi="仿宋" w:eastAsia="仿宋"/>
          <w:sz w:val="32"/>
          <w:szCs w:val="32"/>
        </w:rPr>
        <w:t>年度编制部门核定我委人员编制3</w:t>
      </w:r>
      <w:r>
        <w:rPr>
          <w:rFonts w:hint="eastAsia" w:eastAsia="仿宋"/>
          <w:sz w:val="32"/>
          <w:szCs w:val="32"/>
          <w:lang w:val="en-US" w:eastAsia="zh-CN"/>
        </w:rPr>
        <w:t>9</w:t>
      </w:r>
      <w:r>
        <w:rPr>
          <w:rFonts w:hint="eastAsia" w:ascii="仿宋" w:hAnsi="仿宋" w:eastAsia="仿宋"/>
          <w:sz w:val="32"/>
          <w:szCs w:val="32"/>
        </w:rPr>
        <w:t>名，</w:t>
      </w:r>
      <w:r>
        <w:rPr>
          <w:rFonts w:hint="eastAsia" w:ascii="仿宋" w:hAnsi="仿宋" w:eastAsia="仿宋"/>
          <w:sz w:val="32"/>
          <w:szCs w:val="32"/>
          <w:u w:val="none"/>
        </w:rPr>
        <w:t>其中机关行政编制27名；国有企业监事会主席行政编制单列，按实际情况核定；机关后勤服务事业编制1名</w:t>
      </w:r>
      <w:r>
        <w:rPr>
          <w:rFonts w:hint="eastAsia" w:eastAsia="仿宋"/>
          <w:sz w:val="32"/>
          <w:szCs w:val="32"/>
          <w:u w:val="none"/>
          <w:lang w:eastAsia="zh-CN"/>
        </w:rPr>
        <w:t>；所属市国有资产监督管理事务中心，核定全额拨款事业编制</w:t>
      </w:r>
      <w:r>
        <w:rPr>
          <w:rFonts w:hint="eastAsia" w:eastAsia="仿宋"/>
          <w:sz w:val="32"/>
          <w:szCs w:val="32"/>
          <w:u w:val="none"/>
          <w:lang w:val="en-US" w:eastAsia="zh-CN"/>
        </w:rPr>
        <w:t>9名。</w:t>
      </w:r>
      <w:r>
        <w:rPr>
          <w:rFonts w:hint="eastAsia" w:ascii="仿宋" w:hAnsi="仿宋" w:eastAsia="仿宋"/>
          <w:sz w:val="32"/>
          <w:szCs w:val="32"/>
          <w:u w:val="none"/>
        </w:rPr>
        <w:t>至202</w:t>
      </w:r>
      <w:r>
        <w:rPr>
          <w:rFonts w:hint="eastAsia" w:eastAsia="仿宋"/>
          <w:sz w:val="32"/>
          <w:szCs w:val="32"/>
          <w:u w:val="none"/>
          <w:lang w:val="en-US" w:eastAsia="zh-CN"/>
        </w:rPr>
        <w:t>3</w:t>
      </w:r>
      <w:r>
        <w:rPr>
          <w:rFonts w:hint="eastAsia" w:ascii="仿宋" w:hAnsi="仿宋" w:eastAsia="仿宋"/>
          <w:sz w:val="32"/>
          <w:szCs w:val="32"/>
          <w:u w:val="none"/>
        </w:rPr>
        <w:t>年12月我委实有在职行政人员 2</w:t>
      </w:r>
      <w:r>
        <w:rPr>
          <w:rFonts w:hint="eastAsia" w:eastAsia="仿宋"/>
          <w:sz w:val="32"/>
          <w:szCs w:val="32"/>
          <w:u w:val="none"/>
          <w:lang w:val="en-US" w:eastAsia="zh-CN"/>
        </w:rPr>
        <w:t>5</w:t>
      </w:r>
      <w:r>
        <w:rPr>
          <w:rFonts w:hint="eastAsia" w:ascii="仿宋" w:hAnsi="仿宋" w:eastAsia="仿宋"/>
          <w:sz w:val="32"/>
          <w:szCs w:val="32"/>
          <w:u w:val="none"/>
        </w:rPr>
        <w:t>人，国有企业监事会主席</w:t>
      </w:r>
      <w:r>
        <w:rPr>
          <w:rFonts w:hint="eastAsia" w:eastAsia="仿宋"/>
          <w:sz w:val="32"/>
          <w:szCs w:val="32"/>
          <w:u w:val="none"/>
          <w:lang w:val="en-US" w:eastAsia="zh-CN"/>
        </w:rPr>
        <w:t>2</w:t>
      </w:r>
      <w:r>
        <w:rPr>
          <w:rFonts w:hint="eastAsia" w:ascii="仿宋" w:hAnsi="仿宋" w:eastAsia="仿宋"/>
          <w:sz w:val="32"/>
          <w:szCs w:val="32"/>
          <w:u w:val="none"/>
        </w:rPr>
        <w:t>人，</w:t>
      </w:r>
      <w:r>
        <w:rPr>
          <w:rFonts w:hint="eastAsia" w:eastAsia="仿宋"/>
          <w:sz w:val="32"/>
          <w:szCs w:val="32"/>
          <w:u w:val="none"/>
          <w:lang w:eastAsia="zh-CN"/>
        </w:rPr>
        <w:t>事业人员</w:t>
      </w:r>
      <w:r>
        <w:rPr>
          <w:rFonts w:hint="eastAsia" w:eastAsia="仿宋"/>
          <w:sz w:val="32"/>
          <w:szCs w:val="32"/>
          <w:u w:val="none"/>
          <w:lang w:val="en-US" w:eastAsia="zh-CN"/>
        </w:rPr>
        <w:t>6人，</w:t>
      </w:r>
      <w:r>
        <w:rPr>
          <w:rFonts w:hint="eastAsia" w:ascii="仿宋" w:hAnsi="仿宋" w:eastAsia="仿宋"/>
          <w:sz w:val="32"/>
          <w:szCs w:val="32"/>
          <w:u w:val="none"/>
        </w:rPr>
        <w:t>共计</w:t>
      </w:r>
      <w:r>
        <w:rPr>
          <w:rFonts w:hint="eastAsia" w:eastAsia="仿宋"/>
          <w:sz w:val="32"/>
          <w:szCs w:val="32"/>
          <w:u w:val="none"/>
          <w:lang w:val="en-US" w:eastAsia="zh-CN"/>
        </w:rPr>
        <w:t>33</w:t>
      </w:r>
      <w:r>
        <w:rPr>
          <w:rFonts w:hint="eastAsia" w:ascii="仿宋" w:hAnsi="仿宋" w:eastAsia="仿宋"/>
          <w:sz w:val="32"/>
          <w:szCs w:val="32"/>
          <w:u w:val="none"/>
        </w:rPr>
        <w:t>人。</w:t>
      </w:r>
    </w:p>
    <w:p w14:paraId="4B8BE53C">
      <w:pPr>
        <w:ind w:firstLine="643" w:firstLineChars="200"/>
        <w:rPr>
          <w:rFonts w:ascii="楷体" w:hAnsi="楷体" w:eastAsia="楷体"/>
          <w:b/>
          <w:sz w:val="32"/>
          <w:szCs w:val="32"/>
        </w:rPr>
      </w:pPr>
      <w:r>
        <w:rPr>
          <w:rFonts w:hint="eastAsia" w:ascii="楷体" w:hAnsi="楷体" w:eastAsia="楷体"/>
          <w:b/>
          <w:sz w:val="32"/>
          <w:szCs w:val="32"/>
        </w:rPr>
        <w:t>2、机构设置情况</w:t>
      </w:r>
    </w:p>
    <w:p w14:paraId="01AD7A22">
      <w:pPr>
        <w:ind w:firstLine="640" w:firstLineChars="200"/>
        <w:rPr>
          <w:rFonts w:hint="eastAsia" w:ascii="仿宋" w:hAnsi="仿宋" w:eastAsia="仿宋"/>
          <w:sz w:val="32"/>
          <w:szCs w:val="32"/>
        </w:rPr>
      </w:pPr>
      <w:r>
        <w:rPr>
          <w:rFonts w:hint="eastAsia" w:ascii="仿宋" w:hAnsi="仿宋" w:eastAsia="仿宋"/>
          <w:sz w:val="32"/>
          <w:szCs w:val="32"/>
        </w:rPr>
        <w:t>委本级设置8个内设机构：综合科、政策法规科（行政事业单位经济实体管理科）、产权管理科、企业改革发展科、资本收益与财务监管科（资本合作科）、考核分配科</w:t>
      </w:r>
      <w:r>
        <w:rPr>
          <w:rFonts w:hint="eastAsia" w:ascii="仿宋" w:hAnsi="仿宋" w:eastAsia="仿宋"/>
          <w:sz w:val="32"/>
          <w:szCs w:val="32"/>
          <w:lang w:eastAsia="zh-CN"/>
        </w:rPr>
        <w:t>（监督科）</w:t>
      </w:r>
      <w:r>
        <w:rPr>
          <w:rFonts w:hint="eastAsia" w:ascii="仿宋" w:hAnsi="仿宋" w:eastAsia="仿宋"/>
          <w:sz w:val="32"/>
          <w:szCs w:val="32"/>
        </w:rPr>
        <w:t>、安全维稳科、党建工作科。人事科和党建工作科合署办公。</w:t>
      </w:r>
    </w:p>
    <w:p w14:paraId="538ACC4E">
      <w:pPr>
        <w:ind w:firstLine="640" w:firstLineChars="200"/>
        <w:rPr>
          <w:rFonts w:hint="eastAsia" w:ascii="仿宋" w:hAnsi="仿宋" w:eastAsia="仿宋"/>
          <w:sz w:val="32"/>
          <w:szCs w:val="32"/>
        </w:rPr>
      </w:pPr>
      <w:r>
        <w:rPr>
          <w:rFonts w:hint="eastAsia" w:ascii="仿宋" w:hAnsi="仿宋" w:eastAsia="仿宋"/>
          <w:sz w:val="32"/>
          <w:szCs w:val="32"/>
        </w:rPr>
        <w:t>机关党委、机关纪委按章程设置。</w:t>
      </w:r>
    </w:p>
    <w:p w14:paraId="03FF4EF3">
      <w:pPr>
        <w:ind w:firstLine="640" w:firstLineChars="200"/>
        <w:rPr>
          <w:rFonts w:hint="eastAsia" w:eastAsia="仿宋"/>
          <w:sz w:val="32"/>
          <w:szCs w:val="32"/>
          <w:lang w:eastAsia="zh-CN"/>
        </w:rPr>
      </w:pPr>
      <w:r>
        <w:rPr>
          <w:rFonts w:hint="eastAsia" w:eastAsia="仿宋"/>
          <w:sz w:val="32"/>
          <w:szCs w:val="32"/>
          <w:lang w:eastAsia="zh-CN"/>
        </w:rPr>
        <w:t>所属正科级公益一类事业单位，为市国有资产监督管理事务中心。</w:t>
      </w:r>
    </w:p>
    <w:p w14:paraId="48208B87">
      <w:pPr>
        <w:ind w:firstLine="643" w:firstLineChars="200"/>
        <w:rPr>
          <w:rFonts w:ascii="楷体" w:hAnsi="楷体" w:eastAsia="楷体"/>
          <w:b/>
          <w:sz w:val="32"/>
          <w:szCs w:val="32"/>
        </w:rPr>
      </w:pPr>
      <w:r>
        <w:rPr>
          <w:rFonts w:hint="eastAsia" w:ascii="楷体" w:hAnsi="楷体" w:eastAsia="楷体"/>
          <w:b/>
          <w:sz w:val="32"/>
          <w:szCs w:val="32"/>
        </w:rPr>
        <w:t>3、主要工作职责</w:t>
      </w:r>
    </w:p>
    <w:p w14:paraId="2539144F">
      <w:pPr>
        <w:ind w:firstLine="480" w:firstLineChars="150"/>
        <w:rPr>
          <w:rFonts w:ascii="仿宋" w:hAnsi="仿宋" w:eastAsia="仿宋"/>
          <w:sz w:val="32"/>
          <w:szCs w:val="32"/>
        </w:rPr>
      </w:pPr>
      <w:r>
        <w:rPr>
          <w:rFonts w:hint="eastAsia" w:ascii="仿宋_GB2312" w:hAnsi="仿宋_GB2312" w:eastAsia="仿宋_GB2312"/>
          <w:sz w:val="32"/>
          <w:szCs w:val="32"/>
        </w:rPr>
        <w:t xml:space="preserve"> </w:t>
      </w:r>
      <w:r>
        <w:rPr>
          <w:rFonts w:hint="eastAsia" w:ascii="仿宋" w:hAnsi="仿宋" w:eastAsia="仿宋"/>
          <w:sz w:val="32"/>
          <w:szCs w:val="32"/>
        </w:rPr>
        <w:t>（1）根据市人民政府授权，依照相关法律法规履行出资人职责，加强所监管企业国有资产的监督管理工作。</w:t>
      </w:r>
    </w:p>
    <w:p w14:paraId="7015E76F">
      <w:pPr>
        <w:ind w:firstLine="320" w:firstLineChars="100"/>
        <w:rPr>
          <w:rFonts w:ascii="仿宋" w:hAnsi="仿宋" w:eastAsia="仿宋"/>
          <w:sz w:val="32"/>
          <w:szCs w:val="32"/>
        </w:rPr>
      </w:pPr>
      <w:r>
        <w:rPr>
          <w:rFonts w:hint="eastAsia" w:ascii="仿宋" w:hAnsi="仿宋" w:eastAsia="仿宋"/>
          <w:sz w:val="32"/>
          <w:szCs w:val="32"/>
        </w:rPr>
        <w:t xml:space="preserve">  （2）承担监督所监管企业国有资产保值增值的责任。</w:t>
      </w:r>
    </w:p>
    <w:p w14:paraId="61175733">
      <w:pPr>
        <w:ind w:firstLine="320" w:firstLineChars="100"/>
        <w:rPr>
          <w:rFonts w:ascii="仿宋" w:hAnsi="仿宋" w:eastAsia="仿宋"/>
          <w:sz w:val="32"/>
          <w:szCs w:val="32"/>
        </w:rPr>
      </w:pPr>
      <w:r>
        <w:rPr>
          <w:rFonts w:hint="eastAsia" w:ascii="仿宋" w:hAnsi="仿宋" w:eastAsia="仿宋"/>
          <w:sz w:val="32"/>
          <w:szCs w:val="32"/>
        </w:rPr>
        <w:t xml:space="preserve">  （3）指导推进国有企业改革和重组，负责归口组织协调全市与中央企业、省属企业对接合作工作。</w:t>
      </w:r>
    </w:p>
    <w:p w14:paraId="26662E42">
      <w:pPr>
        <w:ind w:firstLine="320" w:firstLineChars="100"/>
        <w:rPr>
          <w:rFonts w:ascii="仿宋" w:hAnsi="仿宋" w:eastAsia="仿宋"/>
          <w:sz w:val="32"/>
          <w:szCs w:val="32"/>
        </w:rPr>
      </w:pPr>
      <w:r>
        <w:rPr>
          <w:rFonts w:hint="eastAsia" w:ascii="仿宋" w:hAnsi="仿宋" w:eastAsia="仿宋"/>
          <w:sz w:val="32"/>
          <w:szCs w:val="32"/>
        </w:rPr>
        <w:t xml:space="preserve">  （4）通过法定程序，对所监管企业的负责人进行任免、考核并根据其经营业绩进行奖惩，建立符合社会主义市场经济体制和现代企业制度要求的选人、用人机制。</w:t>
      </w:r>
    </w:p>
    <w:p w14:paraId="1C482533">
      <w:pPr>
        <w:ind w:firstLine="480" w:firstLineChars="150"/>
        <w:rPr>
          <w:rFonts w:ascii="仿宋" w:hAnsi="仿宋" w:eastAsia="仿宋"/>
          <w:sz w:val="32"/>
          <w:szCs w:val="32"/>
        </w:rPr>
      </w:pPr>
      <w:r>
        <w:rPr>
          <w:rFonts w:hint="eastAsia" w:ascii="仿宋" w:hAnsi="仿宋" w:eastAsia="仿宋"/>
          <w:sz w:val="32"/>
          <w:szCs w:val="32"/>
        </w:rPr>
        <w:t xml:space="preserve"> （5）按照有关规定，代表市人民政府向所监管企业委派董事（董事长）。</w:t>
      </w:r>
    </w:p>
    <w:p w14:paraId="37021011">
      <w:pPr>
        <w:ind w:firstLine="320" w:firstLineChars="100"/>
        <w:rPr>
          <w:rFonts w:ascii="仿宋" w:hAnsi="仿宋" w:eastAsia="仿宋"/>
          <w:sz w:val="32"/>
          <w:szCs w:val="32"/>
        </w:rPr>
      </w:pPr>
      <w:r>
        <w:rPr>
          <w:rFonts w:hint="eastAsia" w:ascii="仿宋" w:hAnsi="仿宋" w:eastAsia="仿宋"/>
          <w:sz w:val="32"/>
          <w:szCs w:val="32"/>
        </w:rPr>
        <w:t xml:space="preserve">  （6）负责组织所监管企业上交国有资本收益。</w:t>
      </w:r>
    </w:p>
    <w:p w14:paraId="47F5681F">
      <w:pPr>
        <w:ind w:firstLine="320" w:firstLineChars="100"/>
        <w:rPr>
          <w:rFonts w:ascii="仿宋" w:hAnsi="仿宋" w:eastAsia="仿宋"/>
          <w:sz w:val="32"/>
          <w:szCs w:val="32"/>
        </w:rPr>
      </w:pPr>
      <w:r>
        <w:rPr>
          <w:rFonts w:hint="eastAsia" w:ascii="仿宋" w:hAnsi="仿宋" w:eastAsia="仿宋"/>
          <w:sz w:val="32"/>
          <w:szCs w:val="32"/>
        </w:rPr>
        <w:t xml:space="preserve">  （7）负责企业固有资产基础管理，拟定有关国有资产管理的规范性文件，制定有关制度；依法对县市区国有资产监督管理工作进行指导和监督。</w:t>
      </w:r>
    </w:p>
    <w:p w14:paraId="5FD0F496">
      <w:pPr>
        <w:ind w:firstLine="480" w:firstLineChars="150"/>
        <w:rPr>
          <w:rFonts w:ascii="仿宋" w:hAnsi="仿宋" w:eastAsia="仿宋"/>
          <w:sz w:val="32"/>
          <w:szCs w:val="32"/>
        </w:rPr>
      </w:pPr>
      <w:r>
        <w:rPr>
          <w:rFonts w:hint="eastAsia" w:ascii="仿宋" w:hAnsi="仿宋" w:eastAsia="仿宋"/>
          <w:sz w:val="32"/>
          <w:szCs w:val="32"/>
        </w:rPr>
        <w:t xml:space="preserve"> （8）负责市直行政事业单位具有独立法人资格经济实体的监督管理和脱钩移交工作。</w:t>
      </w:r>
    </w:p>
    <w:p w14:paraId="7551C925">
      <w:pPr>
        <w:ind w:firstLine="480" w:firstLineChars="150"/>
        <w:rPr>
          <w:rFonts w:hint="eastAsia" w:ascii="仿宋" w:hAnsi="仿宋" w:eastAsia="仿宋"/>
          <w:sz w:val="32"/>
          <w:szCs w:val="32"/>
        </w:rPr>
      </w:pPr>
      <w:r>
        <w:rPr>
          <w:rFonts w:hint="eastAsia" w:ascii="仿宋" w:hAnsi="仿宋" w:eastAsia="仿宋"/>
          <w:sz w:val="32"/>
          <w:szCs w:val="32"/>
        </w:rPr>
        <w:t xml:space="preserve"> （9）指导、监督市属国有企业法律顾问管理工作。</w:t>
      </w:r>
    </w:p>
    <w:p w14:paraId="2B0CA2BD">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sz w:val="32"/>
          <w:szCs w:val="32"/>
          <w:lang w:eastAsia="zh-CN"/>
        </w:rPr>
      </w:pPr>
      <w:r>
        <w:rPr>
          <w:rFonts w:hint="eastAsia" w:ascii="仿宋" w:hAnsi="仿宋" w:eastAsia="仿宋"/>
          <w:sz w:val="32"/>
          <w:szCs w:val="32"/>
        </w:rPr>
        <w:t>（10）</w:t>
      </w:r>
      <w:r>
        <w:rPr>
          <w:rFonts w:hint="eastAsia" w:eastAsia="仿宋"/>
          <w:sz w:val="32"/>
          <w:szCs w:val="32"/>
          <w:lang w:eastAsia="zh-CN"/>
        </w:rPr>
        <w:t>市国有资产监督管理事务中心主要负责国有资产监督检查等相关事务性工作。</w:t>
      </w:r>
    </w:p>
    <w:p w14:paraId="72473E2A">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eastAsia="仿宋"/>
          <w:sz w:val="32"/>
          <w:szCs w:val="32"/>
          <w:lang w:val="en-US" w:eastAsia="zh-CN"/>
        </w:rPr>
      </w:pPr>
      <w:r>
        <w:rPr>
          <w:rFonts w:hint="eastAsia" w:eastAsia="仿宋"/>
          <w:sz w:val="32"/>
          <w:szCs w:val="32"/>
          <w:lang w:eastAsia="zh-CN"/>
        </w:rPr>
        <w:t>（</w:t>
      </w:r>
      <w:r>
        <w:rPr>
          <w:rFonts w:hint="eastAsia" w:eastAsia="仿宋"/>
          <w:sz w:val="32"/>
          <w:szCs w:val="32"/>
          <w:lang w:val="en-US" w:eastAsia="zh-CN"/>
        </w:rPr>
        <w:t>11）</w:t>
      </w:r>
      <w:r>
        <w:rPr>
          <w:rFonts w:hint="eastAsia" w:ascii="仿宋" w:hAnsi="仿宋" w:eastAsia="仿宋"/>
          <w:sz w:val="32"/>
          <w:szCs w:val="32"/>
        </w:rPr>
        <w:t>承办市委、市人民政府交办的其他事项。</w:t>
      </w:r>
    </w:p>
    <w:p w14:paraId="4012D5F8">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75670A73">
      <w:pPr>
        <w:pStyle w:val="8"/>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14EA7846">
      <w:pPr>
        <w:ind w:firstLine="640" w:firstLineChars="200"/>
        <w:jc w:val="left"/>
        <w:rPr>
          <w:rFonts w:hint="eastAsia" w:ascii="仿宋" w:hAnsi="仿宋" w:eastAsia="仿宋"/>
          <w:sz w:val="32"/>
          <w:szCs w:val="32"/>
        </w:rPr>
      </w:pPr>
      <w:r>
        <w:rPr>
          <w:rFonts w:hint="eastAsia" w:ascii="仿宋" w:hAnsi="仿宋" w:eastAsia="仿宋"/>
          <w:sz w:val="32"/>
          <w:szCs w:val="32"/>
        </w:rPr>
        <w:t>我委基本支出的范围和用途包括委机关的人员经费和日常公用经费。具体包括：工资福利支出、对个人和家庭的补助支出、商品和服务支出、资本性支出。</w:t>
      </w:r>
    </w:p>
    <w:p w14:paraId="2635F4B0">
      <w:pPr>
        <w:ind w:firstLine="640" w:firstLineChars="200"/>
        <w:jc w:val="left"/>
        <w:rPr>
          <w:rFonts w:hint="eastAsia" w:eastAsia="仿宋"/>
          <w:sz w:val="32"/>
          <w:szCs w:val="32"/>
          <w:u w:val="single"/>
          <w:lang w:val="en-US" w:eastAsia="zh-CN"/>
        </w:rPr>
      </w:pPr>
      <w:r>
        <w:rPr>
          <w:rFonts w:hint="eastAsia" w:eastAsia="仿宋"/>
          <w:sz w:val="32"/>
          <w:szCs w:val="32"/>
          <w:lang w:eastAsia="zh-CN"/>
        </w:rPr>
        <w:t>（</w:t>
      </w:r>
      <w:r>
        <w:rPr>
          <w:rFonts w:hint="eastAsia" w:eastAsia="仿宋"/>
          <w:sz w:val="32"/>
          <w:szCs w:val="32"/>
          <w:lang w:val="en-US" w:eastAsia="zh-CN"/>
        </w:rPr>
        <w:t>1）</w:t>
      </w:r>
      <w:r>
        <w:rPr>
          <w:rFonts w:hint="eastAsia" w:eastAsia="仿宋"/>
          <w:sz w:val="32"/>
          <w:szCs w:val="32"/>
          <w:u w:val="none"/>
          <w:lang w:val="en-US" w:eastAsia="zh-CN"/>
        </w:rPr>
        <w:t>2023</w:t>
      </w:r>
      <w:r>
        <w:rPr>
          <w:rFonts w:hint="eastAsia" w:eastAsia="仿宋"/>
          <w:sz w:val="32"/>
          <w:szCs w:val="32"/>
          <w:u w:val="none"/>
          <w:lang w:eastAsia="zh-CN"/>
        </w:rPr>
        <w:t>年公用经费年初预算</w:t>
      </w:r>
      <w:r>
        <w:rPr>
          <w:rFonts w:hint="eastAsia" w:eastAsia="仿宋"/>
          <w:sz w:val="32"/>
          <w:szCs w:val="32"/>
          <w:u w:val="none"/>
          <w:lang w:val="en-US" w:eastAsia="zh-CN"/>
        </w:rPr>
        <w:t>82.68万元，实际支出138.1万元，主要是因为市国资监管事务中心新进5人，从而增加了相应的工作经费。</w:t>
      </w:r>
    </w:p>
    <w:p w14:paraId="187BAAC2">
      <w:pPr>
        <w:ind w:firstLine="640" w:firstLineChars="200"/>
        <w:jc w:val="left"/>
        <w:rPr>
          <w:rFonts w:hint="default" w:ascii="Times New Roman" w:hAnsi="Times New Roman" w:eastAsia="楷体_GB2312" w:cs="Times New Roman"/>
          <w:b/>
          <w:sz w:val="32"/>
          <w:szCs w:val="32"/>
          <w:highlight w:val="none"/>
        </w:rPr>
      </w:pPr>
      <w:r>
        <w:rPr>
          <w:rFonts w:hint="eastAsia" w:eastAsia="仿宋"/>
          <w:sz w:val="32"/>
          <w:szCs w:val="32"/>
          <w:u w:val="none"/>
          <w:lang w:val="en-US" w:eastAsia="zh-CN"/>
        </w:rPr>
        <w:t>（2）</w:t>
      </w:r>
      <w:r>
        <w:rPr>
          <w:rFonts w:hint="eastAsia" w:ascii="仿宋" w:hAnsi="仿宋" w:eastAsia="仿宋"/>
          <w:sz w:val="32"/>
          <w:szCs w:val="32"/>
          <w:u w:val="none"/>
        </w:rPr>
        <w:t>“三公经费” 控制较好。预算总额</w:t>
      </w:r>
      <w:r>
        <w:rPr>
          <w:rFonts w:hint="eastAsia" w:eastAsia="仿宋"/>
          <w:sz w:val="32"/>
          <w:szCs w:val="32"/>
          <w:u w:val="none"/>
          <w:lang w:val="en-US" w:eastAsia="zh-CN"/>
        </w:rPr>
        <w:t>15.30</w:t>
      </w:r>
      <w:r>
        <w:rPr>
          <w:rFonts w:hint="eastAsia" w:ascii="仿宋" w:hAnsi="仿宋" w:eastAsia="仿宋"/>
          <w:sz w:val="32"/>
          <w:szCs w:val="32"/>
          <w:u w:val="none"/>
        </w:rPr>
        <w:t>万元，本年实际支出</w:t>
      </w:r>
      <w:r>
        <w:rPr>
          <w:rFonts w:hint="eastAsia" w:eastAsia="仿宋"/>
          <w:sz w:val="32"/>
          <w:szCs w:val="32"/>
          <w:u w:val="none"/>
          <w:lang w:val="en-US" w:eastAsia="zh-CN"/>
        </w:rPr>
        <w:t>4.54</w:t>
      </w:r>
      <w:r>
        <w:rPr>
          <w:rFonts w:hint="eastAsia" w:ascii="仿宋" w:hAnsi="仿宋" w:eastAsia="仿宋"/>
          <w:sz w:val="32"/>
          <w:szCs w:val="32"/>
          <w:u w:val="none"/>
        </w:rPr>
        <w:t>万元。其中公务接待费预算</w:t>
      </w:r>
      <w:r>
        <w:rPr>
          <w:rFonts w:hint="eastAsia" w:eastAsia="仿宋"/>
          <w:sz w:val="32"/>
          <w:szCs w:val="32"/>
          <w:u w:val="none"/>
          <w:lang w:val="en-US" w:eastAsia="zh-CN"/>
        </w:rPr>
        <w:t>5.6</w:t>
      </w:r>
      <w:r>
        <w:rPr>
          <w:rFonts w:hint="eastAsia" w:ascii="仿宋" w:hAnsi="仿宋" w:eastAsia="仿宋"/>
          <w:sz w:val="32"/>
          <w:szCs w:val="32"/>
          <w:u w:val="none"/>
        </w:rPr>
        <w:t>万元，实际支出</w:t>
      </w:r>
      <w:r>
        <w:rPr>
          <w:rFonts w:hint="eastAsia" w:eastAsia="仿宋"/>
          <w:sz w:val="32"/>
          <w:szCs w:val="32"/>
          <w:u w:val="none"/>
          <w:lang w:val="en-US" w:eastAsia="zh-CN"/>
        </w:rPr>
        <w:t>1.63</w:t>
      </w:r>
      <w:r>
        <w:rPr>
          <w:rFonts w:hint="eastAsia" w:ascii="仿宋" w:hAnsi="仿宋" w:eastAsia="仿宋"/>
          <w:sz w:val="32"/>
          <w:szCs w:val="32"/>
          <w:u w:val="none"/>
        </w:rPr>
        <w:t>万元</w:t>
      </w:r>
      <w:r>
        <w:rPr>
          <w:rFonts w:hint="eastAsia" w:eastAsia="仿宋"/>
          <w:sz w:val="32"/>
          <w:szCs w:val="32"/>
          <w:u w:val="none"/>
          <w:lang w:eastAsia="zh-CN"/>
        </w:rPr>
        <w:t>，较上年降低</w:t>
      </w:r>
      <w:r>
        <w:rPr>
          <w:rFonts w:hint="eastAsia" w:eastAsia="仿宋"/>
          <w:sz w:val="32"/>
          <w:szCs w:val="32"/>
          <w:u w:val="none"/>
          <w:lang w:val="en-US" w:eastAsia="zh-CN"/>
        </w:rPr>
        <w:t>11.4%</w:t>
      </w:r>
      <w:r>
        <w:rPr>
          <w:rFonts w:hint="eastAsia" w:ascii="仿宋" w:hAnsi="仿宋" w:eastAsia="仿宋"/>
          <w:sz w:val="32"/>
          <w:szCs w:val="32"/>
          <w:u w:val="none"/>
        </w:rPr>
        <w:t>；公务用车运行维护费预算</w:t>
      </w:r>
      <w:r>
        <w:rPr>
          <w:rFonts w:hint="eastAsia" w:eastAsia="仿宋"/>
          <w:sz w:val="32"/>
          <w:szCs w:val="32"/>
          <w:u w:val="none"/>
          <w:lang w:val="en-US" w:eastAsia="zh-CN"/>
        </w:rPr>
        <w:t>9.7</w:t>
      </w:r>
      <w:r>
        <w:rPr>
          <w:rFonts w:hint="eastAsia" w:ascii="仿宋" w:hAnsi="仿宋" w:eastAsia="仿宋"/>
          <w:sz w:val="32"/>
          <w:szCs w:val="32"/>
          <w:u w:val="none"/>
        </w:rPr>
        <w:t>万元，实际使用</w:t>
      </w:r>
      <w:r>
        <w:rPr>
          <w:rFonts w:hint="eastAsia" w:eastAsia="仿宋"/>
          <w:sz w:val="32"/>
          <w:szCs w:val="32"/>
          <w:u w:val="none"/>
          <w:lang w:val="en-US" w:eastAsia="zh-CN"/>
        </w:rPr>
        <w:t>2.91</w:t>
      </w:r>
      <w:r>
        <w:rPr>
          <w:rFonts w:hint="eastAsia" w:ascii="仿宋" w:hAnsi="仿宋" w:eastAsia="仿宋"/>
          <w:sz w:val="32"/>
          <w:szCs w:val="32"/>
          <w:u w:val="none"/>
        </w:rPr>
        <w:t>万元</w:t>
      </w:r>
      <w:r>
        <w:rPr>
          <w:rFonts w:hint="eastAsia" w:eastAsia="仿宋"/>
          <w:sz w:val="32"/>
          <w:szCs w:val="32"/>
          <w:u w:val="none"/>
          <w:lang w:eastAsia="zh-CN"/>
        </w:rPr>
        <w:t>，较上年降低</w:t>
      </w:r>
      <w:r>
        <w:rPr>
          <w:rFonts w:hint="eastAsia" w:eastAsia="仿宋"/>
          <w:sz w:val="32"/>
          <w:szCs w:val="32"/>
          <w:u w:val="none"/>
          <w:lang w:val="en-US" w:eastAsia="zh-CN"/>
        </w:rPr>
        <w:t>9.35%</w:t>
      </w:r>
      <w:r>
        <w:rPr>
          <w:rFonts w:hint="eastAsia" w:ascii="仿宋" w:hAnsi="仿宋" w:eastAsia="仿宋"/>
          <w:sz w:val="32"/>
          <w:szCs w:val="32"/>
          <w:u w:val="none"/>
        </w:rPr>
        <w:t>；公务用车购置费0万元；因公出国（境）费用0万元。机关本年公务接待</w:t>
      </w:r>
      <w:r>
        <w:rPr>
          <w:rFonts w:hint="eastAsia" w:eastAsia="仿宋"/>
          <w:sz w:val="32"/>
          <w:szCs w:val="32"/>
          <w:u w:val="none"/>
          <w:lang w:val="en-US" w:eastAsia="zh-CN"/>
        </w:rPr>
        <w:t>8</w:t>
      </w:r>
      <w:r>
        <w:rPr>
          <w:rFonts w:hint="eastAsia" w:ascii="仿宋" w:hAnsi="仿宋" w:eastAsia="仿宋"/>
          <w:sz w:val="32"/>
          <w:szCs w:val="32"/>
          <w:u w:val="none"/>
        </w:rPr>
        <w:t>批次，接待人数</w:t>
      </w:r>
      <w:r>
        <w:rPr>
          <w:rFonts w:hint="eastAsia" w:eastAsia="仿宋"/>
          <w:sz w:val="32"/>
          <w:szCs w:val="32"/>
          <w:u w:val="none"/>
          <w:lang w:val="en-US" w:eastAsia="zh-CN"/>
        </w:rPr>
        <w:t>110</w:t>
      </w:r>
      <w:r>
        <w:rPr>
          <w:rFonts w:hint="eastAsia" w:ascii="仿宋" w:hAnsi="仿宋" w:eastAsia="仿宋"/>
          <w:sz w:val="32"/>
          <w:szCs w:val="32"/>
          <w:u w:val="none"/>
        </w:rPr>
        <w:t>人；本年在使用公车1台。</w:t>
      </w:r>
    </w:p>
    <w:p w14:paraId="79ACB664">
      <w:pPr>
        <w:pStyle w:val="8"/>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（二）项目支出情况</w:t>
      </w:r>
    </w:p>
    <w:p w14:paraId="58CB0AB2">
      <w:pPr>
        <w:numPr>
          <w:ilvl w:val="0"/>
          <w:numId w:val="2"/>
        </w:numPr>
        <w:ind w:left="800" w:leftChars="0" w:firstLine="0" w:firstLineChars="0"/>
        <w:jc w:val="left"/>
        <w:rPr>
          <w:rFonts w:hint="eastAsia" w:ascii="Times New Roman" w:hAnsi="Times New Roman" w:eastAsia="楷体_GB2312" w:cs="Times New Roman"/>
          <w:b/>
          <w:sz w:val="32"/>
          <w:szCs w:val="32"/>
          <w:lang w:val="en-US" w:eastAsia="zh-CN"/>
        </w:rPr>
      </w:pPr>
      <w:r>
        <w:rPr>
          <w:rFonts w:hint="eastAsia" w:ascii="楷体" w:hAnsi="楷体" w:eastAsia="楷体" w:cs="仿宋_GB2312"/>
          <w:b/>
          <w:bCs/>
          <w:sz w:val="32"/>
          <w:szCs w:val="32"/>
          <w:lang w:eastAsia="zh-CN"/>
        </w:rPr>
        <w:t>项目</w:t>
      </w:r>
      <w:r>
        <w:rPr>
          <w:rFonts w:hint="eastAsia" w:ascii="楷体" w:hAnsi="楷体" w:eastAsia="楷体" w:cs="仿宋_GB2312"/>
          <w:b/>
          <w:bCs/>
          <w:sz w:val="32"/>
          <w:szCs w:val="32"/>
        </w:rPr>
        <w:t>资金安排落实、总投入等情况分析</w:t>
      </w:r>
    </w:p>
    <w:p w14:paraId="62E4A060">
      <w:pPr>
        <w:numPr>
          <w:ilvl w:val="0"/>
          <w:numId w:val="0"/>
        </w:numPr>
        <w:ind w:firstLine="640" w:firstLineChars="200"/>
        <w:jc w:val="left"/>
        <w:rPr>
          <w:rFonts w:hint="eastAsia" w:ascii="仿宋" w:hAnsi="仿宋" w:eastAsia="仿宋" w:cs="仿宋"/>
          <w:b w:val="0"/>
          <w:bCs/>
          <w:sz w:val="32"/>
          <w:szCs w:val="32"/>
          <w:u w:val="single"/>
          <w:lang w:val="en-US" w:eastAsia="zh-CN"/>
        </w:rPr>
      </w:pPr>
      <w:r>
        <w:rPr>
          <w:rFonts w:hint="eastAsia" w:ascii="仿宋" w:hAnsi="仿宋" w:eastAsia="仿宋"/>
          <w:sz w:val="32"/>
          <w:szCs w:val="32"/>
          <w:u w:val="none"/>
        </w:rPr>
        <w:t>202</w:t>
      </w:r>
      <w:r>
        <w:rPr>
          <w:rFonts w:hint="eastAsia" w:eastAsia="仿宋"/>
          <w:sz w:val="32"/>
          <w:szCs w:val="32"/>
          <w:u w:val="none"/>
          <w:lang w:val="en-US" w:eastAsia="zh-CN"/>
        </w:rPr>
        <w:t>3</w:t>
      </w:r>
      <w:r>
        <w:rPr>
          <w:rFonts w:hint="eastAsia" w:ascii="仿宋" w:hAnsi="仿宋" w:eastAsia="仿宋"/>
          <w:sz w:val="32"/>
          <w:szCs w:val="32"/>
          <w:u w:val="none"/>
        </w:rPr>
        <w:t>年度财政安排</w:t>
      </w:r>
      <w:r>
        <w:rPr>
          <w:rFonts w:hint="eastAsia" w:eastAsia="仿宋"/>
          <w:sz w:val="32"/>
          <w:szCs w:val="32"/>
          <w:u w:val="none"/>
          <w:lang w:eastAsia="zh-CN"/>
        </w:rPr>
        <w:t>项目资金</w:t>
      </w:r>
      <w:r>
        <w:rPr>
          <w:rFonts w:hint="eastAsia" w:eastAsia="仿宋"/>
          <w:sz w:val="32"/>
          <w:szCs w:val="32"/>
          <w:u w:val="none"/>
          <w:lang w:val="en-US" w:eastAsia="zh-CN"/>
        </w:rPr>
        <w:t>1096.22万元，其中：</w:t>
      </w:r>
      <w:r>
        <w:rPr>
          <w:rFonts w:hint="eastAsia" w:ascii="Times New Roman" w:hAnsi="Times New Roman" w:eastAsia="楷体_GB2312" w:cs="Times New Roman"/>
          <w:b/>
          <w:sz w:val="32"/>
          <w:szCs w:val="32"/>
          <w:u w:val="none"/>
          <w:lang w:val="en-US" w:eastAsia="zh-CN"/>
        </w:rPr>
        <w:t>业务工作经费</w:t>
      </w:r>
      <w:r>
        <w:rPr>
          <w:rFonts w:hint="eastAsia" w:eastAsia="仿宋"/>
          <w:sz w:val="32"/>
          <w:szCs w:val="32"/>
          <w:u w:val="none"/>
          <w:lang w:val="en-US" w:eastAsia="zh-CN"/>
        </w:rPr>
        <w:t>947.42</w:t>
      </w:r>
      <w:r>
        <w:rPr>
          <w:rFonts w:hint="eastAsia" w:ascii="仿宋" w:hAnsi="仿宋" w:eastAsia="仿宋"/>
          <w:sz w:val="32"/>
          <w:szCs w:val="32"/>
          <w:u w:val="none"/>
        </w:rPr>
        <w:t>万元，</w:t>
      </w:r>
      <w:r>
        <w:rPr>
          <w:rFonts w:hint="eastAsia" w:eastAsia="仿宋"/>
          <w:sz w:val="32"/>
          <w:szCs w:val="32"/>
          <w:u w:val="none"/>
          <w:lang w:eastAsia="zh-CN"/>
        </w:rPr>
        <w:t>包含人才集团注册资本金、文明创建公益广告宣传经费、帮扶解困资金、市属国企改制遗留问题经费、国有企业财务信息管理费</w:t>
      </w:r>
      <w:r>
        <w:rPr>
          <w:rFonts w:hint="eastAsia" w:eastAsia="仿宋"/>
          <w:sz w:val="32"/>
          <w:szCs w:val="32"/>
          <w:u w:val="none"/>
          <w:lang w:val="en-US" w:eastAsia="zh-CN"/>
        </w:rPr>
        <w:t>等，全年执行数947.42万元。</w:t>
      </w:r>
      <w:r>
        <w:rPr>
          <w:rFonts w:hint="eastAsia" w:ascii="Times New Roman" w:hAnsi="Times New Roman" w:eastAsia="楷体_GB2312" w:cs="Times New Roman"/>
          <w:b/>
          <w:sz w:val="32"/>
          <w:szCs w:val="32"/>
          <w:u w:val="none"/>
          <w:lang w:val="en-US" w:eastAsia="zh-CN"/>
        </w:rPr>
        <w:t>运行维护经费</w:t>
      </w:r>
      <w:r>
        <w:rPr>
          <w:rFonts w:hint="eastAsia" w:eastAsia="仿宋" w:cs="仿宋"/>
          <w:b w:val="0"/>
          <w:bCs/>
          <w:sz w:val="32"/>
          <w:szCs w:val="32"/>
          <w:u w:val="none"/>
          <w:lang w:val="en-US" w:eastAsia="zh-CN"/>
        </w:rPr>
        <w:t>28.8</w:t>
      </w:r>
      <w:r>
        <w:rPr>
          <w:rFonts w:hint="eastAsia" w:ascii="仿宋" w:hAnsi="仿宋" w:eastAsia="仿宋" w:cs="仿宋"/>
          <w:b w:val="0"/>
          <w:bCs/>
          <w:sz w:val="32"/>
          <w:szCs w:val="32"/>
          <w:u w:val="none"/>
          <w:lang w:val="en-US" w:eastAsia="zh-CN"/>
        </w:rPr>
        <w:t>万元，包含国有资产监管经费</w:t>
      </w:r>
      <w:r>
        <w:rPr>
          <w:rFonts w:hint="eastAsia" w:eastAsia="仿宋" w:cs="仿宋"/>
          <w:b w:val="0"/>
          <w:bCs/>
          <w:sz w:val="32"/>
          <w:szCs w:val="32"/>
          <w:u w:val="none"/>
          <w:lang w:val="en-US" w:eastAsia="zh-CN"/>
        </w:rPr>
        <w:t>，</w:t>
      </w:r>
      <w:r>
        <w:rPr>
          <w:rFonts w:hint="eastAsia" w:eastAsia="仿宋"/>
          <w:sz w:val="32"/>
          <w:szCs w:val="32"/>
          <w:u w:val="none"/>
          <w:lang w:val="en-US" w:eastAsia="zh-CN"/>
        </w:rPr>
        <w:t>全年执行数28.8万元</w:t>
      </w:r>
      <w:r>
        <w:rPr>
          <w:rFonts w:hint="eastAsia" w:ascii="仿宋" w:hAnsi="仿宋" w:eastAsia="仿宋" w:cs="仿宋"/>
          <w:b w:val="0"/>
          <w:bCs/>
          <w:sz w:val="32"/>
          <w:szCs w:val="32"/>
          <w:u w:val="none"/>
          <w:lang w:val="en-US" w:eastAsia="zh-CN"/>
        </w:rPr>
        <w:t>。</w:t>
      </w:r>
      <w:r>
        <w:rPr>
          <w:rFonts w:hint="eastAsia" w:ascii="Times New Roman" w:hAnsi="Times New Roman" w:eastAsia="楷体_GB2312" w:cs="Times New Roman"/>
          <w:b/>
          <w:sz w:val="32"/>
          <w:szCs w:val="32"/>
          <w:u w:val="none"/>
          <w:lang w:val="en-US" w:eastAsia="zh-CN"/>
        </w:rPr>
        <w:t>市级专项经费</w:t>
      </w:r>
      <w:r>
        <w:rPr>
          <w:rFonts w:hint="eastAsia" w:eastAsia="仿宋" w:cs="仿宋"/>
          <w:b w:val="0"/>
          <w:bCs/>
          <w:sz w:val="32"/>
          <w:szCs w:val="32"/>
          <w:u w:val="none"/>
          <w:lang w:val="en-US" w:eastAsia="zh-CN"/>
        </w:rPr>
        <w:t>120</w:t>
      </w:r>
      <w:r>
        <w:rPr>
          <w:rFonts w:hint="eastAsia" w:ascii="仿宋" w:hAnsi="仿宋" w:eastAsia="仿宋" w:cs="仿宋"/>
          <w:b w:val="0"/>
          <w:bCs/>
          <w:sz w:val="32"/>
          <w:szCs w:val="32"/>
          <w:u w:val="none"/>
          <w:lang w:val="en-US" w:eastAsia="zh-CN"/>
        </w:rPr>
        <w:t>万元，包含国有资本经营预算资金</w:t>
      </w:r>
      <w:r>
        <w:rPr>
          <w:rFonts w:hint="eastAsia" w:eastAsia="仿宋" w:cs="仿宋"/>
          <w:b w:val="0"/>
          <w:bCs/>
          <w:sz w:val="32"/>
          <w:szCs w:val="32"/>
          <w:u w:val="none"/>
          <w:lang w:val="en-US" w:eastAsia="zh-CN"/>
        </w:rPr>
        <w:t>115</w:t>
      </w:r>
      <w:r>
        <w:rPr>
          <w:rFonts w:hint="eastAsia" w:ascii="仿宋" w:hAnsi="仿宋" w:eastAsia="仿宋" w:cs="仿宋"/>
          <w:b w:val="0"/>
          <w:bCs/>
          <w:sz w:val="32"/>
          <w:szCs w:val="32"/>
          <w:u w:val="none"/>
          <w:lang w:val="en-US" w:eastAsia="zh-CN"/>
        </w:rPr>
        <w:t>万元、新型工业化引导资金</w:t>
      </w:r>
      <w:r>
        <w:rPr>
          <w:rFonts w:hint="eastAsia" w:ascii="仿宋" w:hAnsi="仿宋" w:eastAsia="仿宋"/>
          <w:sz w:val="32"/>
          <w:szCs w:val="32"/>
          <w:u w:val="none"/>
          <w:lang w:eastAsia="zh-CN"/>
        </w:rPr>
        <w:t>（</w:t>
      </w:r>
      <w:r>
        <w:rPr>
          <w:rFonts w:hint="eastAsia" w:eastAsia="仿宋"/>
          <w:sz w:val="32"/>
          <w:szCs w:val="32"/>
          <w:u w:val="none"/>
          <w:lang w:eastAsia="zh-CN"/>
        </w:rPr>
        <w:t>国有企业公务用车</w:t>
      </w:r>
      <w:r>
        <w:rPr>
          <w:rFonts w:hint="eastAsia" w:ascii="仿宋" w:hAnsi="仿宋" w:eastAsia="仿宋"/>
          <w:sz w:val="32"/>
          <w:szCs w:val="32"/>
          <w:u w:val="none"/>
          <w:lang w:eastAsia="zh-CN"/>
        </w:rPr>
        <w:t>监控经费）</w:t>
      </w:r>
      <w:r>
        <w:rPr>
          <w:rFonts w:hint="eastAsia" w:ascii="仿宋" w:hAnsi="仿宋" w:eastAsia="仿宋" w:cs="仿宋"/>
          <w:b w:val="0"/>
          <w:bCs/>
          <w:sz w:val="32"/>
          <w:szCs w:val="32"/>
          <w:u w:val="none"/>
          <w:lang w:val="en-US" w:eastAsia="zh-CN"/>
        </w:rPr>
        <w:t>5万元，全年执行数</w:t>
      </w:r>
      <w:r>
        <w:rPr>
          <w:rFonts w:hint="eastAsia" w:eastAsia="仿宋" w:cs="仿宋"/>
          <w:b w:val="0"/>
          <w:bCs/>
          <w:sz w:val="32"/>
          <w:szCs w:val="32"/>
          <w:u w:val="none"/>
          <w:lang w:val="en-US" w:eastAsia="zh-CN"/>
        </w:rPr>
        <w:t>120</w:t>
      </w:r>
      <w:r>
        <w:rPr>
          <w:rFonts w:hint="eastAsia" w:ascii="仿宋" w:hAnsi="仿宋" w:eastAsia="仿宋" w:cs="仿宋"/>
          <w:b w:val="0"/>
          <w:bCs/>
          <w:sz w:val="32"/>
          <w:szCs w:val="32"/>
          <w:u w:val="none"/>
          <w:lang w:val="en-US" w:eastAsia="zh-CN"/>
        </w:rPr>
        <w:t>万元。</w:t>
      </w:r>
    </w:p>
    <w:p w14:paraId="6CE99A6D">
      <w:pPr>
        <w:ind w:firstLine="643" w:firstLineChars="200"/>
        <w:jc w:val="left"/>
        <w:rPr>
          <w:rFonts w:hint="eastAsia" w:ascii="楷体" w:hAnsi="楷体" w:eastAsia="楷体" w:cs="仿宋_GB2312"/>
          <w:b/>
          <w:bCs/>
          <w:sz w:val="32"/>
          <w:szCs w:val="32"/>
          <w:u w:val="none"/>
        </w:rPr>
      </w:pPr>
      <w:r>
        <w:rPr>
          <w:rFonts w:hint="eastAsia" w:ascii="楷体" w:hAnsi="楷体" w:eastAsia="楷体"/>
          <w:b/>
          <w:sz w:val="32"/>
          <w:szCs w:val="32"/>
          <w:u w:val="none"/>
          <w:lang w:val="en-US" w:eastAsia="zh-CN"/>
        </w:rPr>
        <w:t>2、</w:t>
      </w:r>
      <w:r>
        <w:rPr>
          <w:rFonts w:hint="eastAsia" w:ascii="楷体" w:hAnsi="楷体" w:eastAsia="楷体" w:cs="仿宋_GB2312"/>
          <w:b/>
          <w:bCs/>
          <w:sz w:val="32"/>
          <w:szCs w:val="32"/>
          <w:u w:val="none"/>
        </w:rPr>
        <w:t>专项资金实际使用情况分析</w:t>
      </w:r>
    </w:p>
    <w:p w14:paraId="59F55106">
      <w:pPr>
        <w:ind w:firstLine="640" w:firstLineChars="200"/>
        <w:jc w:val="left"/>
        <w:rPr>
          <w:rFonts w:hint="eastAsia" w:ascii="仿宋" w:hAnsi="仿宋" w:eastAsia="仿宋"/>
          <w:sz w:val="32"/>
          <w:szCs w:val="32"/>
          <w:u w:val="none"/>
          <w:lang w:eastAsia="zh-CN"/>
        </w:rPr>
      </w:pPr>
      <w:r>
        <w:rPr>
          <w:rFonts w:hint="eastAsia" w:eastAsia="仿宋"/>
          <w:sz w:val="32"/>
          <w:szCs w:val="32"/>
          <w:u w:val="none"/>
          <w:lang w:eastAsia="zh-CN"/>
        </w:rPr>
        <w:t>人才集团注册资本金、文明创建公益广告宣传经费、帮扶解困资金、市属国企改制遗留问题经费</w:t>
      </w:r>
      <w:r>
        <w:rPr>
          <w:rFonts w:hint="eastAsia" w:eastAsia="仿宋"/>
          <w:sz w:val="32"/>
          <w:szCs w:val="32"/>
          <w:u w:val="none"/>
          <w:lang w:val="en-US" w:eastAsia="zh-CN"/>
        </w:rPr>
        <w:t>等资金，为市财政拨至市属国有企业的工作经费，我委已及时拨至企业，确保了资金保障。</w:t>
      </w:r>
    </w:p>
    <w:p w14:paraId="7D302E7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sz w:val="32"/>
          <w:szCs w:val="32"/>
          <w:u w:val="single"/>
          <w:lang w:eastAsia="zh-CN"/>
        </w:rPr>
      </w:pPr>
      <w:r>
        <w:rPr>
          <w:rFonts w:hint="eastAsia" w:ascii="仿宋" w:hAnsi="仿宋" w:eastAsia="仿宋"/>
          <w:sz w:val="32"/>
          <w:szCs w:val="32"/>
          <w:u w:val="none"/>
          <w:lang w:eastAsia="zh-CN"/>
        </w:rPr>
        <w:t>新型工业化引导资金（</w:t>
      </w:r>
      <w:r>
        <w:rPr>
          <w:rFonts w:hint="eastAsia" w:eastAsia="仿宋"/>
          <w:sz w:val="32"/>
          <w:szCs w:val="32"/>
          <w:u w:val="none"/>
          <w:lang w:eastAsia="zh-CN"/>
        </w:rPr>
        <w:t>国有企业公务用车</w:t>
      </w:r>
      <w:r>
        <w:rPr>
          <w:rFonts w:hint="eastAsia" w:ascii="仿宋" w:hAnsi="仿宋" w:eastAsia="仿宋"/>
          <w:sz w:val="32"/>
          <w:szCs w:val="32"/>
          <w:u w:val="none"/>
          <w:lang w:eastAsia="zh-CN"/>
        </w:rPr>
        <w:t>监控经费）</w:t>
      </w:r>
      <w:r>
        <w:rPr>
          <w:rFonts w:hint="eastAsia" w:ascii="仿宋" w:hAnsi="仿宋" w:eastAsia="仿宋"/>
          <w:sz w:val="32"/>
          <w:szCs w:val="32"/>
          <w:u w:val="none"/>
        </w:rPr>
        <w:t>主要用于日常公用经费</w:t>
      </w:r>
      <w:r>
        <w:rPr>
          <w:rFonts w:hint="eastAsia" w:ascii="仿宋" w:hAnsi="仿宋" w:eastAsia="仿宋"/>
          <w:sz w:val="32"/>
          <w:szCs w:val="32"/>
          <w:u w:val="none"/>
          <w:lang w:eastAsia="zh-CN"/>
        </w:rPr>
        <w:t>。</w:t>
      </w:r>
      <w:r>
        <w:rPr>
          <w:rFonts w:hint="eastAsia" w:ascii="仿宋" w:hAnsi="仿宋" w:eastAsia="仿宋"/>
          <w:sz w:val="32"/>
          <w:szCs w:val="32"/>
          <w:u w:val="none"/>
        </w:rPr>
        <w:t>根据岳阳市公务用车制度改革领导小组《关于岳阳市市属国有企业公务用车制度改革的实施意见》（岳车改[2019]2号）文件精神，岳阳市国资委负责市属国有企业公务用车的日常监督管理，建立并督促有关单位和个人落实公车管理相关制度。我委按照文件要求完成市属国有企业公务用</w:t>
      </w:r>
      <w:r>
        <w:rPr>
          <w:rFonts w:hint="eastAsia" w:eastAsia="仿宋"/>
          <w:sz w:val="32"/>
          <w:szCs w:val="32"/>
          <w:u w:val="none"/>
          <w:lang w:eastAsia="zh-CN"/>
        </w:rPr>
        <w:t>车</w:t>
      </w:r>
      <w:r>
        <w:rPr>
          <w:rFonts w:hint="eastAsia" w:ascii="仿宋" w:hAnsi="仿宋" w:eastAsia="仿宋"/>
          <w:sz w:val="32"/>
          <w:szCs w:val="32"/>
          <w:u w:val="none"/>
        </w:rPr>
        <w:t>制度改革，安装北斗卫星定位车载终端，</w:t>
      </w:r>
      <w:r>
        <w:rPr>
          <w:rFonts w:hint="eastAsia" w:eastAsia="仿宋"/>
          <w:sz w:val="32"/>
          <w:szCs w:val="32"/>
          <w:u w:val="none"/>
          <w:lang w:eastAsia="zh-CN"/>
        </w:rPr>
        <w:t>对企业公务用车实行在线监督，按年度</w:t>
      </w:r>
      <w:r>
        <w:rPr>
          <w:rFonts w:hint="eastAsia" w:ascii="仿宋" w:hAnsi="仿宋" w:eastAsia="仿宋"/>
          <w:sz w:val="32"/>
          <w:szCs w:val="32"/>
          <w:u w:val="none"/>
        </w:rPr>
        <w:t>支付车载监控管理平台运营费</w:t>
      </w:r>
      <w:r>
        <w:rPr>
          <w:rFonts w:hint="eastAsia" w:ascii="仿宋" w:hAnsi="仿宋" w:eastAsia="仿宋"/>
          <w:sz w:val="32"/>
          <w:szCs w:val="32"/>
          <w:u w:val="none"/>
          <w:lang w:eastAsia="zh-CN"/>
        </w:rPr>
        <w:t>。</w:t>
      </w:r>
    </w:p>
    <w:p w14:paraId="16141A00">
      <w:pPr>
        <w:pStyle w:val="4"/>
        <w:keepNext w:val="0"/>
        <w:keepLines w:val="0"/>
        <w:pageBreakBefore w:val="0"/>
        <w:widowControl w:val="0"/>
        <w:kinsoku/>
        <w:wordWrap/>
        <w:overflowPunct/>
        <w:topLinePunct w:val="0"/>
        <w:autoSpaceDE/>
        <w:autoSpaceDN/>
        <w:bidi w:val="0"/>
        <w:adjustRightInd/>
        <w:snapToGrid/>
        <w:textAlignment w:val="auto"/>
        <w:rPr>
          <w:rFonts w:hint="default" w:ascii="仿宋" w:hAnsi="仿宋" w:eastAsia="仿宋" w:cs="仿宋"/>
          <w:sz w:val="32"/>
          <w:szCs w:val="32"/>
          <w:u w:val="none"/>
          <w:lang w:val="en-US" w:eastAsia="zh-CN"/>
        </w:rPr>
      </w:pPr>
      <w:r>
        <w:rPr>
          <w:rFonts w:hint="eastAsia" w:ascii="仿宋" w:hAnsi="仿宋" w:eastAsia="仿宋" w:cs="仿宋"/>
          <w:sz w:val="32"/>
          <w:szCs w:val="32"/>
          <w:u w:val="none"/>
          <w:lang w:val="en-US" w:eastAsia="zh-CN"/>
        </w:rPr>
        <w:t xml:space="preserve">    国有资本经营预算资金主要用于加强对企业的监督管理，强化国有企业业绩考评，确保国有资产保值增值，推进央企、省企办社会化职能</w:t>
      </w:r>
      <w:bookmarkStart w:id="0" w:name="_GoBack"/>
      <w:bookmarkEnd w:id="0"/>
      <w:r>
        <w:rPr>
          <w:rFonts w:hint="eastAsia" w:ascii="仿宋" w:hAnsi="仿宋" w:eastAsia="仿宋" w:cs="仿宋"/>
          <w:sz w:val="32"/>
          <w:szCs w:val="32"/>
          <w:u w:val="none"/>
          <w:lang w:val="en-US" w:eastAsia="zh-CN"/>
        </w:rPr>
        <w:t>分离移交，为国企瘦身健体，构建国资监管大格局，做强做优做大国有资本和国有企业。</w:t>
      </w:r>
    </w:p>
    <w:p w14:paraId="0599DABF">
      <w:pPr>
        <w:spacing w:line="560" w:lineRule="exact"/>
        <w:ind w:firstLine="643" w:firstLineChars="200"/>
        <w:rPr>
          <w:rFonts w:ascii="楷体" w:hAnsi="楷体" w:eastAsia="楷体" w:cs="仿宋_GB2312"/>
          <w:b/>
          <w:bCs/>
          <w:sz w:val="32"/>
          <w:szCs w:val="32"/>
          <w:u w:val="none"/>
        </w:rPr>
      </w:pPr>
      <w:r>
        <w:rPr>
          <w:rFonts w:hint="eastAsia" w:ascii="楷体" w:hAnsi="楷体" w:eastAsia="楷体"/>
          <w:b/>
          <w:sz w:val="32"/>
          <w:szCs w:val="32"/>
          <w:u w:val="none"/>
          <w:lang w:val="en-US" w:eastAsia="zh-CN"/>
        </w:rPr>
        <w:t>3、</w:t>
      </w:r>
      <w:r>
        <w:rPr>
          <w:rFonts w:hint="eastAsia" w:ascii="楷体" w:hAnsi="楷体" w:eastAsia="楷体" w:cs="仿宋_GB2312"/>
          <w:b/>
          <w:bCs/>
          <w:sz w:val="32"/>
          <w:szCs w:val="32"/>
          <w:u w:val="none"/>
        </w:rPr>
        <w:t>专项资金管理情况分析</w:t>
      </w:r>
    </w:p>
    <w:p w14:paraId="2AC1AF9A">
      <w:pPr>
        <w:ind w:firstLine="640" w:firstLineChars="200"/>
        <w:jc w:val="left"/>
        <w:rPr>
          <w:rFonts w:hint="default" w:ascii="Times New Roman" w:hAnsi="Times New Roman" w:eastAsia="楷体_GB2312" w:cs="Times New Roman"/>
          <w:b/>
          <w:sz w:val="32"/>
          <w:szCs w:val="32"/>
          <w:highlight w:val="none"/>
        </w:rPr>
      </w:pPr>
      <w:r>
        <w:rPr>
          <w:rFonts w:hint="eastAsia" w:ascii="仿宋" w:hAnsi="仿宋" w:eastAsia="仿宋"/>
          <w:color w:val="000000" w:themeColor="text1"/>
          <w:sz w:val="32"/>
          <w:szCs w:val="32"/>
          <w:u w:val="none"/>
          <w:shd w:val="clear" w:color="auto" w:fill="FFFFFF"/>
          <w14:textFill>
            <w14:solidFill>
              <w14:schemeClr w14:val="tx1"/>
            </w14:solidFill>
          </w14:textFill>
        </w:rPr>
        <w:t>我委项目资金管理依照《会计法》、《会计基础工作规范》、《行政单位财务制度》、《行政单位会计制度》、《国库集中支付管理规定》和《本单位财务管理制度》与财政年初预算安排的行政运行资金集合管理使用，采取总量控制、计划管理，按预算科目和项目资金的使用规定，坚持勤俭节约、量入为出，保证重点、兼顾一般、从严控制，重大财务事项集体决策防范风险、科学管理，委机关、纪检负责监督全部专项资金的管理使用，在保障各项工作有序开展的同时，确保每一分钱都发挥最大作用。</w:t>
      </w:r>
    </w:p>
    <w:p w14:paraId="71BC7CE6">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三、</w:t>
      </w:r>
      <w:r>
        <w:rPr>
          <w:rFonts w:hint="default" w:ascii="Times New Roman" w:hAnsi="Times New Roman" w:eastAsia="黑体" w:cs="Times New Roman"/>
          <w:sz w:val="32"/>
          <w:szCs w:val="32"/>
          <w:highlight w:val="none"/>
        </w:rPr>
        <w:t>政府性基金预算支出情况</w:t>
      </w:r>
    </w:p>
    <w:p w14:paraId="6427B277">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highlight w:val="none"/>
        </w:rPr>
      </w:pPr>
      <w:r>
        <w:rPr>
          <w:rFonts w:hint="eastAsia" w:ascii="仿宋" w:hAnsi="仿宋" w:eastAsia="仿宋" w:cs="仿宋"/>
          <w:sz w:val="32"/>
          <w:szCs w:val="32"/>
          <w:lang w:val="en-US" w:eastAsia="zh-CN"/>
        </w:rPr>
        <w:t>2023年无政府性基金预算支出。</w:t>
      </w:r>
    </w:p>
    <w:p w14:paraId="79BBB7DB">
      <w:pPr>
        <w:pStyle w:val="8"/>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14:paraId="5FB76106">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 xml:space="preserve">    </w:t>
      </w:r>
      <w:r>
        <w:rPr>
          <w:rFonts w:hint="eastAsia" w:ascii="仿宋" w:hAnsi="仿宋" w:eastAsia="仿宋" w:cs="仿宋"/>
          <w:sz w:val="32"/>
          <w:szCs w:val="32"/>
          <w:lang w:val="en-US" w:eastAsia="zh-CN"/>
        </w:rPr>
        <w:t>2023年国有资本经营预算安排214万元，其中包含监事会工作经费、监管工作经费、国企改革工作经费等，主要用于对市属国有企业的监督管理，编制国有资本经营预算，开展年度经营业绩考核，完成国有企业利润上缴，建设国资国企在线监管系统，促进形成上下联动的监管格局，以管资本为主实现对监管企业的在线监管等，2023年国有资本经营预算资金支出费用115万元。</w:t>
      </w:r>
    </w:p>
    <w:p w14:paraId="1535C131">
      <w:pPr>
        <w:pStyle w:val="8"/>
        <w:keepNext w:val="0"/>
        <w:keepLines w:val="0"/>
        <w:pageBreakBefore w:val="0"/>
        <w:widowControl/>
        <w:numPr>
          <w:ilvl w:val="0"/>
          <w:numId w:val="3"/>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14:paraId="2F1076E2">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highlight w:val="none"/>
        </w:rPr>
      </w:pPr>
      <w:r>
        <w:rPr>
          <w:rFonts w:hint="eastAsia" w:ascii="仿宋" w:hAnsi="仿宋" w:eastAsia="仿宋" w:cs="仿宋"/>
          <w:sz w:val="32"/>
          <w:szCs w:val="32"/>
          <w:lang w:val="en-US" w:eastAsia="zh-CN"/>
        </w:rPr>
        <w:t>2023年无</w:t>
      </w:r>
      <w:r>
        <w:rPr>
          <w:rFonts w:hint="eastAsia" w:ascii="仿宋" w:hAnsi="仿宋" w:eastAsia="仿宋" w:cs="仿宋"/>
          <w:sz w:val="32"/>
          <w:szCs w:val="32"/>
        </w:rPr>
        <w:t>社会保险基金预算支出</w:t>
      </w:r>
      <w:r>
        <w:rPr>
          <w:rFonts w:hint="eastAsia" w:ascii="仿宋" w:hAnsi="仿宋" w:eastAsia="仿宋" w:cs="仿宋"/>
          <w:sz w:val="32"/>
          <w:szCs w:val="32"/>
          <w:lang w:eastAsia="zh-CN"/>
        </w:rPr>
        <w:t>。</w:t>
      </w:r>
    </w:p>
    <w:p w14:paraId="23488BA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14:paraId="4C16C8AE">
      <w:pPr>
        <w:ind w:firstLine="643" w:firstLineChars="200"/>
        <w:rPr>
          <w:rFonts w:ascii="楷体" w:hAnsi="楷体" w:eastAsia="楷体"/>
          <w:b/>
          <w:sz w:val="32"/>
          <w:szCs w:val="32"/>
        </w:rPr>
      </w:pPr>
      <w:r>
        <w:rPr>
          <w:rFonts w:hint="eastAsia" w:ascii="楷体" w:hAnsi="楷体" w:eastAsia="楷体"/>
          <w:b/>
          <w:sz w:val="32"/>
          <w:szCs w:val="32"/>
        </w:rPr>
        <w:t>(一)经济性评价方面</w:t>
      </w:r>
    </w:p>
    <w:p w14:paraId="7E9C9CF9">
      <w:pPr>
        <w:ind w:firstLine="645"/>
        <w:rPr>
          <w:rFonts w:ascii="仿宋" w:hAnsi="仿宋" w:eastAsia="仿宋"/>
          <w:sz w:val="32"/>
          <w:szCs w:val="32"/>
        </w:rPr>
      </w:pPr>
      <w:r>
        <w:rPr>
          <w:rFonts w:hint="eastAsia" w:ascii="仿宋" w:hAnsi="仿宋" w:eastAsia="仿宋"/>
          <w:sz w:val="32"/>
          <w:szCs w:val="32"/>
        </w:rPr>
        <w:t>1、202</w:t>
      </w:r>
      <w:r>
        <w:rPr>
          <w:rFonts w:hint="eastAsia" w:eastAsia="仿宋"/>
          <w:sz w:val="32"/>
          <w:szCs w:val="32"/>
          <w:lang w:val="en-US" w:eastAsia="zh-CN"/>
        </w:rPr>
        <w:t>3</w:t>
      </w:r>
      <w:r>
        <w:rPr>
          <w:rFonts w:hint="eastAsia" w:ascii="仿宋" w:hAnsi="仿宋" w:eastAsia="仿宋"/>
          <w:sz w:val="32"/>
          <w:szCs w:val="32"/>
        </w:rPr>
        <w:t>年度编制部门核定我委人员编制</w:t>
      </w:r>
      <w:r>
        <w:rPr>
          <w:rFonts w:hint="eastAsia" w:eastAsia="仿宋"/>
          <w:sz w:val="32"/>
          <w:szCs w:val="32"/>
          <w:lang w:val="en-US" w:eastAsia="zh-CN"/>
        </w:rPr>
        <w:t>39</w:t>
      </w:r>
      <w:r>
        <w:rPr>
          <w:rFonts w:hint="eastAsia" w:ascii="仿宋" w:hAnsi="仿宋" w:eastAsia="仿宋"/>
          <w:sz w:val="32"/>
          <w:szCs w:val="32"/>
        </w:rPr>
        <w:t>名，其中行政编制27名，机关后勤服务事业编制1名，国有企业监事会主席行政编制单列，按实际情况核定</w:t>
      </w:r>
      <w:r>
        <w:rPr>
          <w:rFonts w:hint="eastAsia" w:eastAsia="仿宋"/>
          <w:sz w:val="32"/>
          <w:szCs w:val="32"/>
          <w:lang w:eastAsia="zh-CN"/>
        </w:rPr>
        <w:t>，市国有资产监督管理事务中心编制</w:t>
      </w:r>
      <w:r>
        <w:rPr>
          <w:rFonts w:hint="eastAsia" w:eastAsia="仿宋"/>
          <w:sz w:val="32"/>
          <w:szCs w:val="32"/>
          <w:lang w:val="en-US" w:eastAsia="zh-CN"/>
        </w:rPr>
        <w:t>9名</w:t>
      </w:r>
      <w:r>
        <w:rPr>
          <w:rFonts w:hint="eastAsia" w:ascii="仿宋" w:hAnsi="仿宋" w:eastAsia="仿宋"/>
          <w:sz w:val="32"/>
          <w:szCs w:val="32"/>
        </w:rPr>
        <w:t>。实有在职人数</w:t>
      </w:r>
      <w:r>
        <w:rPr>
          <w:rFonts w:hint="eastAsia" w:eastAsia="仿宋"/>
          <w:sz w:val="32"/>
          <w:szCs w:val="32"/>
          <w:lang w:val="en-US" w:eastAsia="zh-CN"/>
        </w:rPr>
        <w:t>33</w:t>
      </w:r>
      <w:r>
        <w:rPr>
          <w:rFonts w:hint="eastAsia" w:ascii="仿宋" w:hAnsi="仿宋" w:eastAsia="仿宋"/>
          <w:sz w:val="32"/>
          <w:szCs w:val="32"/>
        </w:rPr>
        <w:t>人，</w:t>
      </w:r>
      <w:r>
        <w:rPr>
          <w:rFonts w:hint="eastAsia" w:ascii="仿宋" w:hAnsi="仿宋" w:eastAsia="仿宋"/>
          <w:sz w:val="32"/>
          <w:szCs w:val="32"/>
          <w:lang w:eastAsia="zh-CN"/>
        </w:rPr>
        <w:t>其中行政人员</w:t>
      </w:r>
      <w:r>
        <w:rPr>
          <w:rFonts w:hint="eastAsia" w:ascii="仿宋" w:hAnsi="仿宋" w:eastAsia="仿宋"/>
          <w:sz w:val="32"/>
          <w:szCs w:val="32"/>
          <w:lang w:val="en-US" w:eastAsia="zh-CN"/>
        </w:rPr>
        <w:t>2</w:t>
      </w:r>
      <w:r>
        <w:rPr>
          <w:rFonts w:hint="eastAsia" w:eastAsia="仿宋"/>
          <w:sz w:val="32"/>
          <w:szCs w:val="32"/>
          <w:lang w:val="en-US" w:eastAsia="zh-CN"/>
        </w:rPr>
        <w:t>5</w:t>
      </w:r>
      <w:r>
        <w:rPr>
          <w:rFonts w:hint="eastAsia" w:ascii="仿宋" w:hAnsi="仿宋" w:eastAsia="仿宋"/>
          <w:sz w:val="32"/>
          <w:szCs w:val="32"/>
          <w:lang w:val="en-US" w:eastAsia="zh-CN"/>
        </w:rPr>
        <w:t>人，</w:t>
      </w:r>
      <w:r>
        <w:rPr>
          <w:rFonts w:hint="eastAsia" w:ascii="仿宋" w:hAnsi="仿宋" w:eastAsia="仿宋"/>
          <w:sz w:val="32"/>
          <w:szCs w:val="32"/>
        </w:rPr>
        <w:t>国有企业监事会主席</w:t>
      </w:r>
      <w:r>
        <w:rPr>
          <w:rFonts w:hint="eastAsia" w:eastAsia="仿宋"/>
          <w:sz w:val="32"/>
          <w:szCs w:val="32"/>
          <w:lang w:val="en-US" w:eastAsia="zh-CN"/>
        </w:rPr>
        <w:t>2</w:t>
      </w:r>
      <w:r>
        <w:rPr>
          <w:rFonts w:hint="eastAsia" w:ascii="仿宋" w:hAnsi="仿宋" w:eastAsia="仿宋"/>
          <w:sz w:val="32"/>
          <w:szCs w:val="32"/>
        </w:rPr>
        <w:t>人，</w:t>
      </w:r>
      <w:r>
        <w:rPr>
          <w:rFonts w:hint="eastAsia" w:eastAsia="仿宋"/>
          <w:sz w:val="32"/>
          <w:szCs w:val="32"/>
          <w:lang w:eastAsia="zh-CN"/>
        </w:rPr>
        <w:t>事业人员</w:t>
      </w:r>
      <w:r>
        <w:rPr>
          <w:rFonts w:hint="eastAsia" w:eastAsia="仿宋"/>
          <w:sz w:val="32"/>
          <w:szCs w:val="32"/>
          <w:lang w:val="en-US" w:eastAsia="zh-CN"/>
        </w:rPr>
        <w:t>6人，</w:t>
      </w:r>
      <w:r>
        <w:rPr>
          <w:rFonts w:hint="eastAsia" w:ascii="仿宋" w:hAnsi="仿宋" w:eastAsia="仿宋"/>
          <w:sz w:val="32"/>
          <w:szCs w:val="32"/>
        </w:rPr>
        <w:t>未超编。</w:t>
      </w:r>
    </w:p>
    <w:p w14:paraId="7E01AEA4">
      <w:pPr>
        <w:ind w:firstLine="645"/>
        <w:rPr>
          <w:rFonts w:hint="eastAsia" w:ascii="仿宋" w:hAnsi="仿宋" w:eastAsia="仿宋"/>
          <w:sz w:val="32"/>
          <w:szCs w:val="32"/>
          <w:lang w:eastAsia="zh-CN"/>
        </w:rPr>
      </w:pPr>
      <w:r>
        <w:rPr>
          <w:rFonts w:hint="eastAsia" w:ascii="仿宋" w:hAnsi="仿宋" w:eastAsia="仿宋"/>
          <w:sz w:val="32"/>
          <w:szCs w:val="32"/>
        </w:rPr>
        <w:t>2、预算执行方面，支出总额控制在</w:t>
      </w:r>
      <w:r>
        <w:rPr>
          <w:rFonts w:hint="eastAsia" w:ascii="仿宋" w:hAnsi="仿宋" w:eastAsia="仿宋"/>
          <w:sz w:val="32"/>
          <w:szCs w:val="32"/>
          <w:lang w:eastAsia="zh-CN"/>
        </w:rPr>
        <w:t>收入</w:t>
      </w:r>
      <w:r>
        <w:rPr>
          <w:rFonts w:hint="eastAsia" w:ascii="仿宋" w:hAnsi="仿宋" w:eastAsia="仿宋"/>
          <w:sz w:val="32"/>
          <w:szCs w:val="32"/>
        </w:rPr>
        <w:t>总额以内，除政策性工资绩效预算的追加外，本年</w:t>
      </w:r>
      <w:r>
        <w:rPr>
          <w:rFonts w:hint="eastAsia" w:ascii="仿宋" w:hAnsi="仿宋" w:eastAsia="仿宋"/>
          <w:sz w:val="32"/>
          <w:szCs w:val="32"/>
          <w:lang w:eastAsia="zh-CN"/>
        </w:rPr>
        <w:t>还追加了</w:t>
      </w:r>
      <w:r>
        <w:rPr>
          <w:rFonts w:hint="eastAsia" w:eastAsia="仿宋"/>
          <w:sz w:val="32"/>
          <w:szCs w:val="32"/>
          <w:u w:val="none"/>
          <w:lang w:eastAsia="zh-CN"/>
        </w:rPr>
        <w:t>人才集团注册资本金、文明创建公益广告宣传经费、帮扶解困资金、市属国企改制遗留问题</w:t>
      </w:r>
      <w:r>
        <w:rPr>
          <w:rFonts w:hint="eastAsia" w:ascii="仿宋" w:hAnsi="仿宋" w:eastAsia="仿宋"/>
          <w:sz w:val="32"/>
          <w:szCs w:val="32"/>
          <w:lang w:eastAsia="zh-CN"/>
        </w:rPr>
        <w:t>等经费。</w:t>
      </w:r>
    </w:p>
    <w:p w14:paraId="3431F0E2">
      <w:pPr>
        <w:ind w:firstLine="640" w:firstLineChars="200"/>
        <w:rPr>
          <w:rFonts w:ascii="仿宋" w:hAnsi="仿宋" w:eastAsia="仿宋"/>
          <w:sz w:val="32"/>
          <w:szCs w:val="32"/>
        </w:rPr>
      </w:pPr>
      <w:r>
        <w:rPr>
          <w:rFonts w:hint="eastAsia" w:ascii="仿宋" w:hAnsi="仿宋" w:eastAsia="仿宋"/>
          <w:sz w:val="32"/>
          <w:szCs w:val="32"/>
        </w:rPr>
        <w:t>预算管理方面，制度执行总体较为有效，仍需进一步强化；</w:t>
      </w:r>
    </w:p>
    <w:p w14:paraId="6A2CADA8">
      <w:pPr>
        <w:ind w:firstLine="640" w:firstLineChars="200"/>
        <w:rPr>
          <w:rFonts w:hint="eastAsia" w:ascii="仿宋" w:hAnsi="仿宋" w:eastAsia="仿宋"/>
          <w:sz w:val="32"/>
          <w:szCs w:val="32"/>
        </w:rPr>
      </w:pPr>
      <w:r>
        <w:rPr>
          <w:rFonts w:hint="eastAsia" w:ascii="仿宋" w:hAnsi="仿宋" w:eastAsia="仿宋"/>
          <w:sz w:val="32"/>
          <w:szCs w:val="32"/>
        </w:rPr>
        <w:t>资金使用管理需进一步加强。资产管理方面建立了资产管理制度，定期进行了盘点和资产清理，总体执行较好。</w:t>
      </w:r>
    </w:p>
    <w:p w14:paraId="498D8502">
      <w:pPr>
        <w:ind w:firstLine="643" w:firstLineChars="200"/>
        <w:rPr>
          <w:rFonts w:ascii="楷体" w:hAnsi="楷体" w:eastAsia="楷体" w:cs="仿宋_GB2312"/>
          <w:color w:val="000000"/>
          <w:sz w:val="32"/>
          <w:szCs w:val="32"/>
        </w:rPr>
      </w:pPr>
      <w:r>
        <w:rPr>
          <w:rFonts w:hint="eastAsia" w:ascii="楷体" w:hAnsi="楷体" w:eastAsia="楷体"/>
          <w:b/>
          <w:sz w:val="32"/>
          <w:szCs w:val="32"/>
        </w:rPr>
        <w:t>(二)效率性分析和有效性分析</w:t>
      </w:r>
    </w:p>
    <w:p w14:paraId="538CABB3">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Calibri" w:eastAsia="仿宋" w:cs="仿宋_GB2312"/>
          <w:color w:val="000000"/>
          <w:spacing w:val="0"/>
          <w:kern w:val="0"/>
          <w:sz w:val="32"/>
          <w:szCs w:val="32"/>
          <w:lang w:val="en-US" w:eastAsia="zh-CN" w:bidi="ar"/>
        </w:rPr>
      </w:pPr>
      <w:r>
        <w:rPr>
          <w:rFonts w:hint="eastAsia" w:ascii="仿宋_GB2312" w:hAnsi="Calibri" w:eastAsia="仿宋" w:cs="仿宋_GB2312"/>
          <w:spacing w:val="0"/>
          <w:kern w:val="0"/>
          <w:sz w:val="32"/>
          <w:szCs w:val="32"/>
          <w:lang w:val="en-US" w:eastAsia="zh-CN" w:bidi="ar"/>
        </w:rPr>
        <w:t>2023年，</w:t>
      </w:r>
      <w:r>
        <w:rPr>
          <w:rFonts w:hint="eastAsia" w:ascii="仿宋_GB2312" w:hAnsi="仿宋_GB2312" w:eastAsia="仿宋" w:cs="仿宋_GB2312"/>
          <w:sz w:val="32"/>
          <w:szCs w:val="32"/>
          <w:lang w:eastAsia="zh-CN"/>
        </w:rPr>
        <w:t>在</w:t>
      </w:r>
      <w:r>
        <w:rPr>
          <w:rFonts w:hint="eastAsia" w:eastAsia="仿宋" w:cs="仿宋_GB2312"/>
          <w:sz w:val="32"/>
          <w:szCs w:val="32"/>
          <w:lang w:eastAsia="zh-CN"/>
        </w:rPr>
        <w:t>市委、市政府</w:t>
      </w:r>
      <w:r>
        <w:rPr>
          <w:rFonts w:hint="eastAsia" w:ascii="仿宋_GB2312" w:hAnsi="仿宋_GB2312" w:eastAsia="仿宋" w:cs="仿宋_GB2312"/>
          <w:sz w:val="32"/>
          <w:szCs w:val="32"/>
          <w:lang w:eastAsia="zh-CN"/>
        </w:rPr>
        <w:t>坚强领导下，</w:t>
      </w:r>
      <w:r>
        <w:rPr>
          <w:rFonts w:hint="eastAsia" w:eastAsia="仿宋" w:cs="仿宋_GB2312"/>
          <w:sz w:val="32"/>
          <w:szCs w:val="32"/>
          <w:lang w:eastAsia="zh-CN"/>
        </w:rPr>
        <w:t>各项任务顺利完成</w:t>
      </w:r>
      <w:r>
        <w:rPr>
          <w:rFonts w:hint="eastAsia" w:ascii="仿宋_GB2312" w:hAnsi="仿宋_GB2312" w:eastAsia="仿宋" w:cs="仿宋_GB2312"/>
          <w:sz w:val="32"/>
          <w:szCs w:val="32"/>
          <w:lang w:val="en-US" w:eastAsia="zh-CN"/>
        </w:rPr>
        <w:t>。</w:t>
      </w:r>
      <w:r>
        <w:rPr>
          <w:rFonts w:hint="eastAsia" w:hAnsi="Calibri" w:eastAsia="仿宋" w:cs="仿宋_GB2312"/>
          <w:spacing w:val="0"/>
          <w:kern w:val="0"/>
          <w:sz w:val="32"/>
          <w:szCs w:val="32"/>
          <w:highlight w:val="none"/>
          <w:lang w:val="en-US" w:eastAsia="zh-CN" w:bidi="ar"/>
        </w:rPr>
        <w:t>市属国有</w:t>
      </w:r>
      <w:r>
        <w:rPr>
          <w:rFonts w:hint="eastAsia" w:ascii="仿宋_GB2312" w:hAnsi="Calibri" w:eastAsia="仿宋" w:cs="仿宋_GB2312"/>
          <w:spacing w:val="0"/>
          <w:kern w:val="0"/>
          <w:sz w:val="32"/>
          <w:szCs w:val="32"/>
          <w:highlight w:val="none"/>
          <w:lang w:val="en-US" w:eastAsia="zh-CN" w:bidi="ar"/>
        </w:rPr>
        <w:t>企业资产总额</w:t>
      </w:r>
      <w:r>
        <w:rPr>
          <w:rFonts w:hint="eastAsia" w:hAnsi="Calibri" w:eastAsia="仿宋" w:cs="仿宋_GB2312"/>
          <w:spacing w:val="0"/>
          <w:kern w:val="0"/>
          <w:sz w:val="32"/>
          <w:szCs w:val="32"/>
          <w:highlight w:val="none"/>
          <w:lang w:val="en-US" w:eastAsia="zh-CN" w:bidi="ar"/>
        </w:rPr>
        <w:t>2318.91</w:t>
      </w:r>
      <w:r>
        <w:rPr>
          <w:rFonts w:hint="eastAsia" w:ascii="仿宋_GB2312" w:hAnsi="Calibri" w:eastAsia="仿宋" w:cs="仿宋_GB2312"/>
          <w:spacing w:val="0"/>
          <w:kern w:val="0"/>
          <w:sz w:val="32"/>
          <w:szCs w:val="32"/>
          <w:highlight w:val="none"/>
          <w:lang w:val="en-US" w:eastAsia="zh-CN" w:bidi="ar"/>
        </w:rPr>
        <w:t>亿元，同比增长</w:t>
      </w:r>
      <w:r>
        <w:rPr>
          <w:rFonts w:hint="eastAsia" w:hAnsi="Calibri" w:eastAsia="仿宋" w:cs="仿宋_GB2312"/>
          <w:spacing w:val="0"/>
          <w:kern w:val="0"/>
          <w:sz w:val="32"/>
          <w:szCs w:val="32"/>
          <w:highlight w:val="none"/>
          <w:lang w:val="en-US" w:eastAsia="zh-CN" w:bidi="ar"/>
        </w:rPr>
        <w:t>6</w:t>
      </w:r>
      <w:r>
        <w:rPr>
          <w:rFonts w:hint="eastAsia" w:ascii="仿宋_GB2312" w:hAnsi="Calibri" w:eastAsia="仿宋" w:cs="仿宋_GB2312"/>
          <w:spacing w:val="0"/>
          <w:kern w:val="0"/>
          <w:sz w:val="32"/>
          <w:szCs w:val="32"/>
          <w:highlight w:val="none"/>
          <w:lang w:val="en-US" w:eastAsia="zh-CN" w:bidi="ar"/>
        </w:rPr>
        <w:t>.</w:t>
      </w:r>
      <w:r>
        <w:rPr>
          <w:rFonts w:hint="eastAsia" w:hAnsi="Calibri" w:eastAsia="仿宋" w:cs="仿宋_GB2312"/>
          <w:spacing w:val="0"/>
          <w:kern w:val="0"/>
          <w:sz w:val="32"/>
          <w:szCs w:val="32"/>
          <w:highlight w:val="none"/>
          <w:lang w:val="en-US" w:eastAsia="zh-CN" w:bidi="ar"/>
        </w:rPr>
        <w:t>62</w:t>
      </w:r>
      <w:r>
        <w:rPr>
          <w:rFonts w:hint="eastAsia" w:ascii="仿宋_GB2312" w:hAnsi="Calibri" w:eastAsia="仿宋" w:cs="仿宋_GB2312"/>
          <w:spacing w:val="0"/>
          <w:kern w:val="0"/>
          <w:sz w:val="32"/>
          <w:szCs w:val="32"/>
          <w:highlight w:val="none"/>
          <w:lang w:val="en-US" w:eastAsia="zh-CN" w:bidi="ar"/>
        </w:rPr>
        <w:t>％；净资产87</w:t>
      </w:r>
      <w:r>
        <w:rPr>
          <w:rFonts w:hint="eastAsia" w:hAnsi="Calibri" w:eastAsia="仿宋" w:cs="仿宋_GB2312"/>
          <w:spacing w:val="0"/>
          <w:kern w:val="0"/>
          <w:sz w:val="32"/>
          <w:szCs w:val="32"/>
          <w:highlight w:val="none"/>
          <w:lang w:val="en-US" w:eastAsia="zh-CN" w:bidi="ar"/>
        </w:rPr>
        <w:t>6.54</w:t>
      </w:r>
      <w:r>
        <w:rPr>
          <w:rFonts w:hint="eastAsia" w:ascii="仿宋_GB2312" w:hAnsi="Calibri" w:eastAsia="仿宋" w:cs="仿宋_GB2312"/>
          <w:spacing w:val="0"/>
          <w:kern w:val="0"/>
          <w:sz w:val="32"/>
          <w:szCs w:val="32"/>
          <w:highlight w:val="none"/>
          <w:lang w:val="en-US" w:eastAsia="zh-CN" w:bidi="ar"/>
        </w:rPr>
        <w:t>亿元，增长</w:t>
      </w:r>
      <w:r>
        <w:rPr>
          <w:rFonts w:hint="eastAsia" w:hAnsi="Calibri" w:eastAsia="仿宋" w:cs="仿宋_GB2312"/>
          <w:spacing w:val="0"/>
          <w:kern w:val="0"/>
          <w:sz w:val="32"/>
          <w:szCs w:val="32"/>
          <w:highlight w:val="none"/>
          <w:lang w:val="en-US" w:eastAsia="zh-CN" w:bidi="ar"/>
        </w:rPr>
        <w:t>2</w:t>
      </w:r>
      <w:r>
        <w:rPr>
          <w:rFonts w:hint="eastAsia" w:ascii="仿宋_GB2312" w:hAnsi="Calibri" w:eastAsia="仿宋" w:cs="仿宋_GB2312"/>
          <w:spacing w:val="0"/>
          <w:kern w:val="0"/>
          <w:sz w:val="32"/>
          <w:szCs w:val="32"/>
          <w:highlight w:val="none"/>
          <w:lang w:val="en-US" w:eastAsia="zh-CN" w:bidi="ar"/>
        </w:rPr>
        <w:t>.</w:t>
      </w:r>
      <w:r>
        <w:rPr>
          <w:rFonts w:hint="eastAsia" w:hAnsi="Calibri" w:eastAsia="仿宋" w:cs="仿宋_GB2312"/>
          <w:spacing w:val="0"/>
          <w:kern w:val="0"/>
          <w:sz w:val="32"/>
          <w:szCs w:val="32"/>
          <w:highlight w:val="none"/>
          <w:lang w:val="en-US" w:eastAsia="zh-CN" w:bidi="ar"/>
        </w:rPr>
        <w:t>04</w:t>
      </w:r>
      <w:r>
        <w:rPr>
          <w:rFonts w:hint="eastAsia" w:ascii="仿宋_GB2312" w:hAnsi="Calibri" w:eastAsia="仿宋" w:cs="仿宋_GB2312"/>
          <w:spacing w:val="0"/>
          <w:kern w:val="0"/>
          <w:sz w:val="32"/>
          <w:szCs w:val="32"/>
          <w:highlight w:val="none"/>
          <w:lang w:val="en-US" w:eastAsia="zh-CN" w:bidi="ar"/>
        </w:rPr>
        <w:t>％；负债14</w:t>
      </w:r>
      <w:r>
        <w:rPr>
          <w:rFonts w:hint="eastAsia" w:hAnsi="Calibri" w:eastAsia="仿宋" w:cs="仿宋_GB2312"/>
          <w:spacing w:val="0"/>
          <w:kern w:val="0"/>
          <w:sz w:val="32"/>
          <w:szCs w:val="32"/>
          <w:highlight w:val="none"/>
          <w:lang w:val="en-US" w:eastAsia="zh-CN" w:bidi="ar"/>
        </w:rPr>
        <w:t>42</w:t>
      </w:r>
      <w:r>
        <w:rPr>
          <w:rFonts w:hint="eastAsia" w:ascii="仿宋_GB2312" w:hAnsi="Calibri" w:eastAsia="仿宋" w:cs="仿宋_GB2312"/>
          <w:spacing w:val="0"/>
          <w:kern w:val="0"/>
          <w:sz w:val="32"/>
          <w:szCs w:val="32"/>
          <w:highlight w:val="none"/>
          <w:lang w:val="en-US" w:eastAsia="zh-CN" w:bidi="ar"/>
        </w:rPr>
        <w:t>.</w:t>
      </w:r>
      <w:r>
        <w:rPr>
          <w:rFonts w:hint="eastAsia" w:hAnsi="Calibri" w:eastAsia="仿宋" w:cs="仿宋_GB2312"/>
          <w:spacing w:val="0"/>
          <w:kern w:val="0"/>
          <w:sz w:val="32"/>
          <w:szCs w:val="32"/>
          <w:highlight w:val="none"/>
          <w:lang w:val="en-US" w:eastAsia="zh-CN" w:bidi="ar"/>
        </w:rPr>
        <w:t>37</w:t>
      </w:r>
      <w:r>
        <w:rPr>
          <w:rFonts w:hint="eastAsia" w:ascii="仿宋_GB2312" w:hAnsi="Calibri" w:eastAsia="仿宋" w:cs="仿宋_GB2312"/>
          <w:spacing w:val="0"/>
          <w:kern w:val="0"/>
          <w:sz w:val="32"/>
          <w:szCs w:val="32"/>
          <w:highlight w:val="none"/>
          <w:lang w:val="en-US" w:eastAsia="zh-CN" w:bidi="ar"/>
        </w:rPr>
        <w:t>亿元，增长</w:t>
      </w:r>
      <w:r>
        <w:rPr>
          <w:rFonts w:hint="eastAsia" w:hAnsi="Calibri" w:eastAsia="仿宋" w:cs="仿宋_GB2312"/>
          <w:spacing w:val="0"/>
          <w:kern w:val="0"/>
          <w:sz w:val="32"/>
          <w:szCs w:val="32"/>
          <w:highlight w:val="none"/>
          <w:lang w:val="en-US" w:eastAsia="zh-CN" w:bidi="ar"/>
        </w:rPr>
        <w:t>9.62</w:t>
      </w:r>
      <w:r>
        <w:rPr>
          <w:rFonts w:hint="eastAsia" w:ascii="仿宋_GB2312" w:hAnsi="Calibri" w:eastAsia="仿宋" w:cs="仿宋_GB2312"/>
          <w:spacing w:val="0"/>
          <w:kern w:val="0"/>
          <w:sz w:val="32"/>
          <w:szCs w:val="32"/>
          <w:highlight w:val="none"/>
          <w:lang w:val="en-US" w:eastAsia="zh-CN" w:bidi="ar"/>
        </w:rPr>
        <w:t>％；资产负债率62.</w:t>
      </w:r>
      <w:r>
        <w:rPr>
          <w:rFonts w:hint="eastAsia" w:hAnsi="Calibri" w:eastAsia="仿宋" w:cs="仿宋_GB2312"/>
          <w:spacing w:val="0"/>
          <w:kern w:val="0"/>
          <w:sz w:val="32"/>
          <w:szCs w:val="32"/>
          <w:highlight w:val="none"/>
          <w:lang w:val="en-US" w:eastAsia="zh-CN" w:bidi="ar"/>
        </w:rPr>
        <w:t>2</w:t>
      </w:r>
      <w:r>
        <w:rPr>
          <w:rFonts w:hint="eastAsia" w:ascii="仿宋_GB2312" w:hAnsi="Calibri" w:eastAsia="仿宋" w:cs="仿宋_GB2312"/>
          <w:spacing w:val="0"/>
          <w:kern w:val="0"/>
          <w:sz w:val="32"/>
          <w:szCs w:val="32"/>
          <w:highlight w:val="none"/>
          <w:lang w:val="en-US" w:eastAsia="zh-CN" w:bidi="ar"/>
        </w:rPr>
        <w:t>％，上升1.</w:t>
      </w:r>
      <w:r>
        <w:rPr>
          <w:rFonts w:hint="eastAsia" w:hAnsi="Calibri" w:eastAsia="仿宋" w:cs="仿宋_GB2312"/>
          <w:spacing w:val="0"/>
          <w:kern w:val="0"/>
          <w:sz w:val="32"/>
          <w:szCs w:val="32"/>
          <w:highlight w:val="none"/>
          <w:lang w:val="en-US" w:eastAsia="zh-CN" w:bidi="ar"/>
        </w:rPr>
        <w:t>57</w:t>
      </w:r>
      <w:r>
        <w:rPr>
          <w:rFonts w:hint="eastAsia" w:ascii="仿宋_GB2312" w:hAnsi="Calibri" w:eastAsia="仿宋" w:cs="仿宋_GB2312"/>
          <w:spacing w:val="0"/>
          <w:kern w:val="0"/>
          <w:sz w:val="32"/>
          <w:szCs w:val="32"/>
          <w:highlight w:val="none"/>
          <w:lang w:val="en-US" w:eastAsia="zh-CN" w:bidi="ar"/>
        </w:rPr>
        <w:t>％；实现营业收入138亿元，增长</w:t>
      </w:r>
      <w:r>
        <w:rPr>
          <w:rFonts w:hint="eastAsia" w:hAnsi="Calibri" w:eastAsia="仿宋" w:cs="仿宋_GB2312"/>
          <w:spacing w:val="0"/>
          <w:kern w:val="0"/>
          <w:sz w:val="32"/>
          <w:szCs w:val="32"/>
          <w:highlight w:val="none"/>
          <w:lang w:val="en-US" w:eastAsia="zh-CN" w:bidi="ar"/>
        </w:rPr>
        <w:t>14</w:t>
      </w:r>
      <w:r>
        <w:rPr>
          <w:rFonts w:hint="eastAsia" w:ascii="仿宋_GB2312" w:hAnsi="Calibri" w:eastAsia="仿宋" w:cs="仿宋_GB2312"/>
          <w:spacing w:val="0"/>
          <w:kern w:val="0"/>
          <w:sz w:val="32"/>
          <w:szCs w:val="32"/>
          <w:highlight w:val="none"/>
          <w:lang w:val="en-US" w:eastAsia="zh-CN" w:bidi="ar"/>
        </w:rPr>
        <w:t>％；利润4.</w:t>
      </w:r>
      <w:r>
        <w:rPr>
          <w:rFonts w:hint="eastAsia" w:hAnsi="Calibri" w:eastAsia="仿宋" w:cs="仿宋_GB2312"/>
          <w:spacing w:val="0"/>
          <w:kern w:val="0"/>
          <w:sz w:val="32"/>
          <w:szCs w:val="32"/>
          <w:highlight w:val="none"/>
          <w:lang w:val="en-US" w:eastAsia="zh-CN" w:bidi="ar"/>
        </w:rPr>
        <w:t>7</w:t>
      </w:r>
      <w:r>
        <w:rPr>
          <w:rFonts w:hint="eastAsia" w:ascii="仿宋_GB2312" w:hAnsi="Calibri" w:eastAsia="仿宋" w:cs="仿宋_GB2312"/>
          <w:spacing w:val="0"/>
          <w:kern w:val="0"/>
          <w:sz w:val="32"/>
          <w:szCs w:val="32"/>
          <w:highlight w:val="none"/>
          <w:lang w:val="en-US" w:eastAsia="zh-CN" w:bidi="ar"/>
        </w:rPr>
        <w:t>亿元，已交税费10.5亿元</w:t>
      </w:r>
      <w:r>
        <w:rPr>
          <w:rFonts w:hint="eastAsia" w:hAnsi="Calibri" w:eastAsia="仿宋" w:cs="仿宋_GB2312"/>
          <w:spacing w:val="0"/>
          <w:kern w:val="0"/>
          <w:sz w:val="32"/>
          <w:szCs w:val="32"/>
          <w:lang w:val="en-US" w:eastAsia="zh-CN" w:bidi="ar"/>
        </w:rPr>
        <w:t>。</w:t>
      </w:r>
      <w:r>
        <w:rPr>
          <w:rFonts w:hint="eastAsia" w:hAnsi="Calibri" w:eastAsia="仿宋" w:cs="仿宋_GB2312"/>
          <w:color w:val="000000"/>
          <w:spacing w:val="0"/>
          <w:kern w:val="0"/>
          <w:sz w:val="32"/>
          <w:szCs w:val="32"/>
          <w:lang w:val="en-US" w:eastAsia="zh-CN" w:bidi="ar"/>
        </w:rPr>
        <w:t>在全省2023年度市州国资监管工作评估评价中，岳阳市国资委被省国资委评定为优秀等次，表彰为“三资”清查处置与管理改革工作先进单位、企业国有资产统计先进单位。</w:t>
      </w:r>
    </w:p>
    <w:p w14:paraId="2407C231">
      <w:pPr>
        <w:pStyle w:val="9"/>
        <w:keepNext w:val="0"/>
        <w:keepLines w:val="0"/>
        <w:pageBreakBefore w:val="0"/>
        <w:widowControl w:val="0"/>
        <w:kinsoku/>
        <w:wordWrap/>
        <w:overflowPunct/>
        <w:topLinePunct w:val="0"/>
        <w:autoSpaceDE/>
        <w:autoSpaceDN/>
        <w:bidi w:val="0"/>
        <w:snapToGrid/>
        <w:spacing w:line="576" w:lineRule="exact"/>
        <w:jc w:val="both"/>
        <w:textAlignment w:val="auto"/>
        <w:rPr>
          <w:rFonts w:hint="eastAsia" w:ascii="仿宋" w:hAnsi="仿宋" w:eastAsia="仿宋" w:cs="仿宋"/>
          <w:b w:val="0"/>
          <w:bCs w:val="0"/>
          <w:kern w:val="2"/>
          <w:sz w:val="32"/>
          <w:szCs w:val="32"/>
          <w:lang w:val="en-US" w:eastAsia="zh-CN" w:bidi="ar-SA"/>
        </w:rPr>
      </w:pPr>
      <w:r>
        <w:rPr>
          <w:rFonts w:hint="eastAsia" w:ascii="仿宋" w:eastAsia="仿宋" w:cs="仿宋"/>
          <w:b w:val="0"/>
          <w:bCs/>
          <w:kern w:val="2"/>
          <w:sz w:val="32"/>
          <w:szCs w:val="32"/>
          <w:lang w:val="en-US" w:eastAsia="zh-CN" w:bidi="ar-SA"/>
        </w:rPr>
        <w:t>1、</w:t>
      </w:r>
      <w:r>
        <w:rPr>
          <w:rFonts w:hint="eastAsia" w:ascii="仿宋" w:hAnsi="仿宋" w:eastAsia="仿宋" w:cs="仿宋"/>
          <w:b w:val="0"/>
          <w:bCs/>
          <w:kern w:val="2"/>
          <w:sz w:val="32"/>
          <w:szCs w:val="32"/>
          <w:lang w:val="en-US" w:eastAsia="zh-CN" w:bidi="ar-SA"/>
        </w:rPr>
        <w:t>坚持党建赋能。</w:t>
      </w:r>
      <w:r>
        <w:rPr>
          <w:rFonts w:hint="eastAsia" w:ascii="仿宋" w:hAnsi="仿宋" w:eastAsia="仿宋" w:cs="仿宋"/>
          <w:spacing w:val="0"/>
          <w:kern w:val="0"/>
          <w:szCs w:val="32"/>
          <w:highlight w:val="none"/>
          <w:lang w:val="en-US" w:eastAsia="zh-CN" w:bidi="ar"/>
        </w:rPr>
        <w:t>扎实推进主题教育，深入开展“走找想促”活动，开展调研15</w:t>
      </w:r>
      <w:r>
        <w:rPr>
          <w:rFonts w:hint="eastAsia" w:ascii="仿宋" w:hAnsi="仿宋" w:eastAsia="仿宋" w:cs="仿宋"/>
          <w:color w:val="auto"/>
          <w:spacing w:val="0"/>
          <w:kern w:val="0"/>
          <w:szCs w:val="32"/>
          <w:highlight w:val="none"/>
          <w:lang w:val="en-US" w:eastAsia="zh-CN" w:bidi="ar"/>
        </w:rPr>
        <w:t>4次，检视问题819个，</w:t>
      </w:r>
      <w:r>
        <w:rPr>
          <w:rFonts w:hint="eastAsia" w:ascii="仿宋" w:hAnsi="仿宋" w:eastAsia="仿宋" w:cs="仿宋"/>
          <w:b w:val="0"/>
          <w:bCs w:val="0"/>
          <w:color w:val="auto"/>
          <w:sz w:val="32"/>
          <w:szCs w:val="32"/>
          <w:lang w:val="en-US" w:eastAsia="zh-CN"/>
        </w:rPr>
        <w:t>解决</w:t>
      </w:r>
      <w:r>
        <w:rPr>
          <w:rFonts w:hint="eastAsia" w:ascii="仿宋" w:hAnsi="仿宋" w:eastAsia="仿宋" w:cs="仿宋"/>
          <w:color w:val="auto"/>
          <w:spacing w:val="0"/>
          <w:kern w:val="0"/>
          <w:szCs w:val="32"/>
          <w:highlight w:val="none"/>
          <w:lang w:val="en-US" w:eastAsia="zh-CN" w:bidi="ar"/>
        </w:rPr>
        <w:t>776个，办结率达94.8%，市</w:t>
      </w:r>
      <w:r>
        <w:rPr>
          <w:rFonts w:hint="eastAsia" w:ascii="仿宋" w:hAnsi="仿宋" w:eastAsia="仿宋" w:cs="仿宋"/>
          <w:b w:val="0"/>
          <w:bCs w:val="0"/>
          <w:color w:val="auto"/>
          <w:kern w:val="2"/>
          <w:sz w:val="32"/>
          <w:szCs w:val="32"/>
          <w:lang w:val="en-US" w:eastAsia="zh-CN" w:bidi="ar-SA"/>
        </w:rPr>
        <w:t>公交集团四分公司在全省作典型发言；市</w:t>
      </w:r>
      <w:r>
        <w:rPr>
          <w:rFonts w:hint="eastAsia" w:ascii="仿宋" w:hAnsi="仿宋" w:eastAsia="仿宋" w:cs="仿宋"/>
          <w:b w:val="0"/>
          <w:bCs w:val="0"/>
          <w:kern w:val="2"/>
          <w:sz w:val="32"/>
          <w:szCs w:val="32"/>
          <w:lang w:val="en-US" w:eastAsia="zh-CN" w:bidi="ar-SA"/>
        </w:rPr>
        <w:t>规划院公司党建工作案例入选全国优秀案例，市国资委音乐党课活动反响良好，“智汇国</w:t>
      </w:r>
      <w:r>
        <w:rPr>
          <w:rFonts w:hint="eastAsia" w:ascii="仿宋" w:hAnsi="仿宋" w:eastAsia="仿宋" w:cs="仿宋"/>
          <w:bCs/>
          <w:color w:val="000000"/>
          <w:kern w:val="2"/>
          <w:sz w:val="32"/>
          <w:szCs w:val="32"/>
          <w:lang w:val="en-US" w:eastAsia="zh-CN" w:bidi="ar-SA"/>
        </w:rPr>
        <w:t>资·岳向未来”引进高素质人才32人；</w:t>
      </w:r>
      <w:r>
        <w:rPr>
          <w:rFonts w:hint="eastAsia" w:ascii="仿宋" w:hAnsi="仿宋" w:eastAsia="仿宋" w:cs="仿宋"/>
          <w:b w:val="0"/>
          <w:bCs w:val="0"/>
          <w:kern w:val="2"/>
          <w:sz w:val="32"/>
          <w:szCs w:val="32"/>
          <w:lang w:val="en-US" w:eastAsia="zh-CN" w:bidi="ar-SA"/>
        </w:rPr>
        <w:t>全力推进“清廉国资”“清廉国企”建设，组织对市国资公司、岳农集团进行联合监督检查，全市清廉国企建设现场会得到市纪委高度肯定。</w:t>
      </w:r>
    </w:p>
    <w:p w14:paraId="189CB90F">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eastAsia="仿宋" w:cs="仿宋"/>
          <w:b w:val="0"/>
          <w:bCs/>
          <w:kern w:val="2"/>
          <w:sz w:val="32"/>
          <w:szCs w:val="32"/>
          <w:lang w:val="en-US" w:eastAsia="zh-CN" w:bidi="ar-SA"/>
        </w:rPr>
        <w:t>2、</w:t>
      </w:r>
      <w:r>
        <w:rPr>
          <w:rFonts w:hint="eastAsia" w:ascii="仿宋" w:hAnsi="仿宋" w:eastAsia="仿宋" w:cs="仿宋"/>
          <w:b w:val="0"/>
          <w:bCs/>
          <w:kern w:val="2"/>
          <w:sz w:val="32"/>
          <w:szCs w:val="32"/>
          <w:lang w:val="en-US" w:eastAsia="zh-CN" w:bidi="ar-SA"/>
        </w:rPr>
        <w:t>坚持产业赋能。</w:t>
      </w:r>
      <w:r>
        <w:rPr>
          <w:rFonts w:hint="eastAsia" w:ascii="仿宋" w:hAnsi="仿宋" w:eastAsia="仿宋" w:cs="仿宋"/>
          <w:b w:val="0"/>
          <w:bCs w:val="0"/>
          <w:sz w:val="32"/>
          <w:szCs w:val="32"/>
          <w:lang w:val="en-US" w:eastAsia="zh-CN"/>
        </w:rPr>
        <w:t>牵头设立20亿元绿色产业基金，</w:t>
      </w:r>
      <w:r>
        <w:rPr>
          <w:rFonts w:hint="eastAsia" w:ascii="仿宋" w:hAnsi="仿宋" w:eastAsia="仿宋" w:cs="仿宋"/>
          <w:b w:val="0"/>
          <w:bCs w:val="0"/>
          <w:sz w:val="32"/>
          <w:szCs w:val="32"/>
          <w:highlight w:val="none"/>
          <w:lang w:val="en-US" w:eastAsia="zh-CN"/>
        </w:rPr>
        <w:t>储备碳汇、新能源、新材料等项目25个</w:t>
      </w:r>
      <w:r>
        <w:rPr>
          <w:rFonts w:hint="eastAsia" w:ascii="仿宋" w:hAnsi="仿宋" w:eastAsia="仿宋" w:cs="仿宋"/>
          <w:b w:val="0"/>
          <w:bCs w:val="0"/>
          <w:sz w:val="32"/>
          <w:szCs w:val="32"/>
          <w:lang w:val="en-US" w:eastAsia="zh-CN"/>
        </w:rPr>
        <w:t>；市城运集团物流基金投资玖行能源等风口企业，实现浮盈8800万元；市</w:t>
      </w:r>
      <w:r>
        <w:rPr>
          <w:rFonts w:hint="eastAsia" w:ascii="仿宋" w:hAnsi="仿宋" w:eastAsia="仿宋" w:cs="仿宋"/>
          <w:sz w:val="32"/>
          <w:szCs w:val="32"/>
          <w:lang w:val="en-US" w:eastAsia="zh-CN"/>
        </w:rPr>
        <w:t>城投集团与高校合作成立变形镁合金公司；市国资公司进军光伏领域，在江西、河南中标3个光伏项目；市</w:t>
      </w:r>
      <w:r>
        <w:rPr>
          <w:rFonts w:hint="eastAsia" w:ascii="仿宋" w:hAnsi="仿宋" w:eastAsia="仿宋" w:cs="仿宋"/>
          <w:color w:val="000000"/>
          <w:sz w:val="32"/>
          <w:szCs w:val="32"/>
          <w:lang w:val="en-US" w:eastAsia="zh-CN"/>
        </w:rPr>
        <w:t>人才集团</w:t>
      </w:r>
      <w:r>
        <w:rPr>
          <w:rFonts w:hint="eastAsia" w:ascii="仿宋" w:hAnsi="仿宋" w:eastAsia="仿宋" w:cs="仿宋"/>
          <w:sz w:val="32"/>
          <w:szCs w:val="32"/>
          <w:lang w:val="en-US" w:eastAsia="zh-CN"/>
        </w:rPr>
        <w:t>被评为全省</w:t>
      </w:r>
      <w:r>
        <w:rPr>
          <w:rFonts w:hint="eastAsia" w:ascii="仿宋" w:hAnsi="仿宋" w:eastAsia="仿宋" w:cs="仿宋"/>
          <w:color w:val="000000"/>
          <w:kern w:val="2"/>
          <w:sz w:val="32"/>
          <w:szCs w:val="32"/>
          <w:lang w:val="en-US" w:eastAsia="zh-CN" w:bidi="ar-SA"/>
        </w:rPr>
        <w:t>示范机构</w:t>
      </w:r>
      <w:r>
        <w:rPr>
          <w:rFonts w:hint="eastAsia" w:ascii="仿宋" w:hAnsi="仿宋" w:eastAsia="仿宋" w:cs="仿宋"/>
          <w:color w:val="000000"/>
          <w:sz w:val="32"/>
          <w:szCs w:val="32"/>
          <w:lang w:val="en-US" w:eastAsia="zh-CN"/>
        </w:rPr>
        <w:t>；屈原城投积极参与农业+文旅项目，完成屈子纪念园、农高区一期建设；岳阳县完成新屋古建筑群收购和非遗展示馆项目建设；君山区“岳阳马拉松”认定为省体育产业示范项目；</w:t>
      </w:r>
      <w:r>
        <w:rPr>
          <w:rFonts w:hint="eastAsia" w:ascii="仿宋" w:hAnsi="仿宋" w:eastAsia="仿宋" w:cs="仿宋"/>
          <w:b w:val="0"/>
          <w:bCs w:val="0"/>
          <w:sz w:val="32"/>
          <w:szCs w:val="32"/>
          <w:lang w:val="en-US" w:eastAsia="zh-CN"/>
        </w:rPr>
        <w:t>华容县引进攀华集团15.6亿元发展芥菜产业</w:t>
      </w:r>
      <w:r>
        <w:rPr>
          <w:rFonts w:hint="eastAsia" w:ascii="仿宋" w:hAnsi="仿宋" w:eastAsia="仿宋" w:cs="仿宋"/>
          <w:color w:val="000000"/>
          <w:sz w:val="32"/>
          <w:szCs w:val="32"/>
          <w:lang w:val="en-US" w:eastAsia="zh-CN"/>
        </w:rPr>
        <w:t>。</w:t>
      </w:r>
    </w:p>
    <w:p w14:paraId="6AE523CC">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eastAsia="仿宋" w:cs="仿宋"/>
          <w:b w:val="0"/>
          <w:bCs/>
          <w:kern w:val="2"/>
          <w:sz w:val="32"/>
          <w:szCs w:val="32"/>
          <w:lang w:val="en-US" w:eastAsia="zh-CN" w:bidi="ar-SA"/>
        </w:rPr>
        <w:t>3、</w:t>
      </w:r>
      <w:r>
        <w:rPr>
          <w:rFonts w:hint="eastAsia" w:ascii="仿宋" w:hAnsi="仿宋" w:eastAsia="仿宋" w:cs="仿宋"/>
          <w:b w:val="0"/>
          <w:bCs/>
          <w:kern w:val="2"/>
          <w:sz w:val="32"/>
          <w:szCs w:val="32"/>
          <w:lang w:val="en-US" w:eastAsia="zh-CN" w:bidi="ar-SA"/>
        </w:rPr>
        <w:t>坚持改革赋能。</w:t>
      </w:r>
      <w:r>
        <w:rPr>
          <w:rFonts w:hint="eastAsia" w:ascii="仿宋" w:hAnsi="仿宋" w:eastAsia="仿宋" w:cs="仿宋"/>
          <w:b w:val="0"/>
          <w:bCs w:val="0"/>
          <w:sz w:val="32"/>
          <w:szCs w:val="32"/>
          <w:lang w:val="en-US" w:eastAsia="zh-CN"/>
        </w:rPr>
        <w:t>市</w:t>
      </w:r>
      <w:r>
        <w:rPr>
          <w:rFonts w:hint="eastAsia" w:ascii="仿宋" w:hAnsi="仿宋" w:eastAsia="仿宋" w:cs="仿宋"/>
          <w:sz w:val="32"/>
          <w:szCs w:val="32"/>
          <w:lang w:val="en-US" w:eastAsia="zh-CN"/>
        </w:rPr>
        <w:t>公交集团通过成本规制实现人员、成本双减；</w:t>
      </w:r>
      <w:r>
        <w:rPr>
          <w:rFonts w:hint="eastAsia" w:ascii="仿宋" w:hAnsi="仿宋" w:eastAsia="仿宋" w:cs="仿宋"/>
          <w:color w:val="000000"/>
          <w:sz w:val="32"/>
          <w:szCs w:val="32"/>
          <w:lang w:val="en-US" w:eastAsia="zh-CN"/>
        </w:rPr>
        <w:t>金叶公司新三板成功挂牌；路桥集团积极拓展外部业务35.6亿元；水务集团海外项目产值近3000万元；市规划院公司首次在西藏、张家界等外地中标3个项目；市测绘院公司改制后，全年产值提升30%；将</w:t>
      </w:r>
      <w:r>
        <w:rPr>
          <w:rFonts w:hint="eastAsia" w:ascii="仿宋" w:hAnsi="仿宋" w:eastAsia="仿宋" w:cs="仿宋"/>
          <w:sz w:val="32"/>
          <w:szCs w:val="32"/>
          <w:lang w:val="en-US" w:eastAsia="zh-CN"/>
        </w:rPr>
        <w:t>洞庭新城并入市城投集团，划转君山农垦股权，支持市城投集团创信用AA</w:t>
      </w:r>
      <w:r>
        <w:rPr>
          <w:rFonts w:hint="eastAsia" w:ascii="仿宋" w:hAnsi="仿宋" w:eastAsia="仿宋" w:cs="仿宋"/>
          <w:sz w:val="32"/>
          <w:szCs w:val="32"/>
          <w:u w:val="none"/>
          <w:lang w:val="en-US" w:eastAsia="zh-CN"/>
        </w:rPr>
        <w:t>A；市</w:t>
      </w:r>
      <w:r>
        <w:rPr>
          <w:rFonts w:hint="eastAsia" w:ascii="仿宋" w:hAnsi="仿宋" w:eastAsia="仿宋" w:cs="仿宋"/>
          <w:sz w:val="32"/>
          <w:szCs w:val="32"/>
          <w:lang w:val="en-US" w:eastAsia="zh-CN"/>
        </w:rPr>
        <w:t>城运集团获评BBBg+国际信用评级；市国资委“三资”运作盘活资产99笔，收入12.4亿元，ABS项目融资14.88亿元，完成财政执收任务约30亿元。湘阴洞庭控股获全省转型发展县区级第一名；南湖新区落地黄梅港湿地公司；</w:t>
      </w:r>
      <w:r>
        <w:rPr>
          <w:rFonts w:hint="eastAsia" w:ascii="仿宋" w:hAnsi="仿宋" w:eastAsia="仿宋" w:cs="仿宋"/>
          <w:color w:val="000000"/>
          <w:sz w:val="32"/>
          <w:szCs w:val="32"/>
          <w:lang w:val="en-US" w:eastAsia="zh-CN"/>
        </w:rPr>
        <w:t>平江县活用“用售租融”，收益29.39亿元；经开区通过“特许经营+城市运营”上缴财政2亿元；汨罗“资产+特许经营权”创收8.85亿元；云溪“腾笼换鸟”盘活6家僵尸企业；楼区汇城公司老旧小区改造成为全省标杆。</w:t>
      </w:r>
    </w:p>
    <w:p w14:paraId="2911910F">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 w:hAnsi="仿宋" w:eastAsia="仿宋"/>
          <w:sz w:val="32"/>
          <w:szCs w:val="32"/>
        </w:rPr>
      </w:pPr>
      <w:r>
        <w:rPr>
          <w:rFonts w:hint="eastAsia" w:eastAsia="仿宋" w:cs="仿宋"/>
          <w:b w:val="0"/>
          <w:bCs/>
          <w:kern w:val="2"/>
          <w:sz w:val="32"/>
          <w:szCs w:val="32"/>
          <w:lang w:val="en-US" w:eastAsia="zh-CN" w:bidi="ar-SA"/>
        </w:rPr>
        <w:t>4、</w:t>
      </w:r>
      <w:r>
        <w:rPr>
          <w:rFonts w:hint="eastAsia" w:ascii="仿宋" w:hAnsi="仿宋" w:eastAsia="仿宋" w:cs="仿宋"/>
          <w:b w:val="0"/>
          <w:bCs/>
          <w:kern w:val="2"/>
          <w:sz w:val="32"/>
          <w:szCs w:val="32"/>
          <w:lang w:val="en-US" w:eastAsia="zh-CN" w:bidi="ar-SA"/>
        </w:rPr>
        <w:t>坚持监管赋能。</w:t>
      </w:r>
      <w:r>
        <w:rPr>
          <w:rFonts w:hint="eastAsia" w:ascii="仿宋" w:hAnsi="仿宋" w:eastAsia="仿宋" w:cs="仿宋"/>
          <w:sz w:val="32"/>
          <w:szCs w:val="32"/>
          <w:lang w:val="en-US" w:eastAsia="zh-CN"/>
        </w:rPr>
        <w:t>市国资委出台国企债务风险管控、“三重一大”决策等23项制度，构建起监管制度体系四梁八柱。</w:t>
      </w:r>
      <w:r>
        <w:rPr>
          <w:rFonts w:hint="eastAsia" w:ascii="仿宋" w:hAnsi="仿宋" w:eastAsia="仿宋" w:cs="仿宋"/>
          <w:color w:val="000000"/>
          <w:sz w:val="32"/>
          <w:szCs w:val="32"/>
          <w:lang w:val="zh-CN" w:eastAsia="zh-CN"/>
        </w:rPr>
        <w:t>落实“631”债务预警机制，强化风险防控，开展银企对</w:t>
      </w:r>
      <w:r>
        <w:rPr>
          <w:rFonts w:hint="eastAsia" w:ascii="仿宋" w:hAnsi="仿宋" w:eastAsia="仿宋" w:cs="仿宋"/>
          <w:color w:val="auto"/>
          <w:sz w:val="32"/>
          <w:szCs w:val="32"/>
          <w:lang w:val="zh-CN" w:eastAsia="zh-CN"/>
        </w:rPr>
        <w:t>接，全年</w:t>
      </w:r>
      <w:r>
        <w:rPr>
          <w:rFonts w:hint="eastAsia" w:ascii="仿宋" w:hAnsi="仿宋" w:eastAsia="仿宋" w:cs="仿宋"/>
          <w:color w:val="auto"/>
          <w:sz w:val="32"/>
          <w:szCs w:val="32"/>
          <w:lang w:val="en-US" w:eastAsia="zh-CN"/>
        </w:rPr>
        <w:t>企业融资成本下降约7309万元，守住了不发生系统性风险底线。推行全面预算管理，加强监督检查，督促企业收回应收</w:t>
      </w:r>
      <w:r>
        <w:rPr>
          <w:rFonts w:hint="eastAsia" w:ascii="仿宋" w:hAnsi="仿宋" w:eastAsia="仿宋" w:cs="仿宋"/>
          <w:sz w:val="32"/>
          <w:szCs w:val="32"/>
          <w:lang w:val="en-US" w:eastAsia="zh-CN"/>
        </w:rPr>
        <w:t>账款17.9亿元</w:t>
      </w:r>
      <w:r>
        <w:rPr>
          <w:rFonts w:hint="eastAsia" w:ascii="仿宋" w:hAnsi="仿宋" w:eastAsia="仿宋" w:cs="仿宋"/>
          <w:sz w:val="32"/>
          <w:szCs w:val="32"/>
          <w:lang w:eastAsia="zh-CN"/>
        </w:rPr>
        <w:t>。</w:t>
      </w:r>
      <w:r>
        <w:rPr>
          <w:rFonts w:hint="eastAsia" w:ascii="仿宋" w:hAnsi="仿宋" w:eastAsia="仿宋" w:cs="仿宋"/>
          <w:b w:val="0"/>
          <w:bCs w:val="0"/>
          <w:sz w:val="32"/>
          <w:szCs w:val="32"/>
          <w:lang w:eastAsia="zh-CN"/>
        </w:rPr>
        <w:t>加强企业投资计划审核，</w:t>
      </w:r>
      <w:r>
        <w:rPr>
          <w:rFonts w:hint="eastAsia" w:ascii="仿宋" w:hAnsi="仿宋" w:eastAsia="仿宋" w:cs="仿宋"/>
          <w:b w:val="0"/>
          <w:bCs w:val="0"/>
          <w:sz w:val="32"/>
          <w:szCs w:val="32"/>
          <w:lang w:val="en-US" w:eastAsia="zh-CN"/>
        </w:rPr>
        <w:t>调整投资方案7个，暂缓6个，否决7个。</w:t>
      </w:r>
    </w:p>
    <w:p w14:paraId="3D5D2B49">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0641D2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jc w:val="both"/>
        <w:rPr>
          <w:rFonts w:hint="eastAsia" w:ascii="仿宋_GB2312" w:hAnsi="宋体" w:eastAsia="仿宋_GB2312" w:cs="仿宋_GB2312"/>
          <w:i w:val="0"/>
          <w:iCs w:val="0"/>
          <w:caps w:val="0"/>
          <w:color w:val="000000"/>
          <w:spacing w:val="0"/>
          <w:kern w:val="0"/>
          <w:sz w:val="32"/>
          <w:szCs w:val="32"/>
          <w:shd w:val="clear" w:fill="FFFFFF"/>
          <w:lang w:val="en-US" w:eastAsia="zh-CN" w:bidi="ar"/>
        </w:rPr>
      </w:pPr>
      <w:r>
        <w:rPr>
          <w:rFonts w:ascii="仿宋_GB2312" w:hAnsi="宋体" w:eastAsia="仿宋_GB2312" w:cs="仿宋_GB2312"/>
          <w:i w:val="0"/>
          <w:iCs w:val="0"/>
          <w:caps w:val="0"/>
          <w:color w:val="000000"/>
          <w:spacing w:val="0"/>
          <w:kern w:val="0"/>
          <w:sz w:val="32"/>
          <w:szCs w:val="32"/>
          <w:shd w:val="clear" w:fill="FFFFFF"/>
          <w:lang w:val="en-US" w:eastAsia="zh-CN" w:bidi="ar"/>
        </w:rPr>
        <w:t>1、绩效项目编制不科学。绩效项</w:t>
      </w:r>
      <w:r>
        <w:rPr>
          <w:rFonts w:hint="eastAsia" w:ascii="仿宋_GB2312" w:hAnsi="宋体" w:eastAsia="仿宋_GB2312" w:cs="仿宋_GB2312"/>
          <w:i w:val="0"/>
          <w:iCs w:val="0"/>
          <w:caps w:val="0"/>
          <w:color w:val="000000"/>
          <w:spacing w:val="0"/>
          <w:kern w:val="0"/>
          <w:sz w:val="32"/>
          <w:szCs w:val="32"/>
          <w:shd w:val="clear" w:fill="FFFFFF"/>
          <w:lang w:val="en-US" w:eastAsia="zh-CN" w:bidi="ar"/>
        </w:rPr>
        <w:t>目实施部门对绩效项目的申报，理解不深研究不透。</w:t>
      </w:r>
    </w:p>
    <w:p w14:paraId="63DA7A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jc w:val="both"/>
        <w:rPr>
          <w:rFonts w:hint="eastAsia" w:ascii="宋体" w:hAnsi="宋体" w:eastAsia="宋体" w:cs="宋体"/>
          <w:i w:val="0"/>
          <w:iCs w:val="0"/>
          <w:caps w:val="0"/>
          <w:color w:val="000000"/>
          <w:spacing w:val="0"/>
          <w:sz w:val="21"/>
          <w:szCs w:val="21"/>
        </w:rPr>
      </w:pPr>
      <w:r>
        <w:rPr>
          <w:rFonts w:hint="eastAsia" w:ascii="仿宋_GB2312" w:hAnsi="宋体" w:eastAsia="仿宋_GB2312" w:cs="仿宋_GB2312"/>
          <w:i w:val="0"/>
          <w:iCs w:val="0"/>
          <w:caps w:val="0"/>
          <w:color w:val="000000"/>
          <w:spacing w:val="0"/>
          <w:kern w:val="0"/>
          <w:sz w:val="32"/>
          <w:szCs w:val="32"/>
          <w:shd w:val="clear" w:fill="FFFFFF"/>
          <w:lang w:val="en-US" w:eastAsia="zh-CN" w:bidi="ar"/>
        </w:rPr>
        <w:t>2、</w:t>
      </w:r>
      <w:r>
        <w:rPr>
          <w:rFonts w:ascii="仿宋" w:hAnsi="仿宋" w:eastAsia="仿宋" w:cs="仿宋"/>
          <w:i w:val="0"/>
          <w:iCs w:val="0"/>
          <w:caps w:val="0"/>
          <w:color w:val="333333"/>
          <w:spacing w:val="0"/>
          <w:sz w:val="32"/>
          <w:szCs w:val="32"/>
          <w:shd w:val="clear" w:fill="FFFFFF"/>
        </w:rPr>
        <w:t>预算拨付资金滞后。有的项目资金是在年末</w:t>
      </w:r>
      <w:r>
        <w:rPr>
          <w:rFonts w:hint="eastAsia" w:eastAsia="仿宋" w:cs="仿宋"/>
          <w:i w:val="0"/>
          <w:iCs w:val="0"/>
          <w:caps w:val="0"/>
          <w:color w:val="333333"/>
          <w:spacing w:val="0"/>
          <w:sz w:val="32"/>
          <w:szCs w:val="32"/>
          <w:shd w:val="clear" w:fill="FFFFFF"/>
          <w:lang w:eastAsia="zh-CN"/>
        </w:rPr>
        <w:t>甚至下一年度</w:t>
      </w:r>
      <w:r>
        <w:rPr>
          <w:rFonts w:ascii="仿宋" w:hAnsi="仿宋" w:eastAsia="仿宋" w:cs="仿宋"/>
          <w:i w:val="0"/>
          <w:iCs w:val="0"/>
          <w:caps w:val="0"/>
          <w:color w:val="333333"/>
          <w:spacing w:val="0"/>
          <w:sz w:val="32"/>
          <w:szCs w:val="32"/>
          <w:shd w:val="clear" w:fill="FFFFFF"/>
        </w:rPr>
        <w:t>才拨付到位，</w:t>
      </w:r>
      <w:r>
        <w:rPr>
          <w:rFonts w:hint="eastAsia" w:ascii="仿宋_GB2312" w:hAnsi="宋体" w:eastAsia="仿宋_GB2312" w:cs="仿宋_GB2312"/>
          <w:i w:val="0"/>
          <w:iCs w:val="0"/>
          <w:caps w:val="0"/>
          <w:color w:val="000000"/>
          <w:spacing w:val="0"/>
          <w:kern w:val="0"/>
          <w:sz w:val="32"/>
          <w:szCs w:val="32"/>
          <w:shd w:val="clear" w:fill="FFFFFF"/>
          <w:lang w:val="en-US" w:eastAsia="zh-CN" w:bidi="ar"/>
        </w:rPr>
        <w:t>导致项目资金在实施进程与资金拨付之间脱节，拨付环节与实施环节相隔太久。</w:t>
      </w:r>
    </w:p>
    <w:p w14:paraId="7B7B4A0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八、下一步改进措施</w:t>
      </w:r>
    </w:p>
    <w:p w14:paraId="3B9360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jc w:val="both"/>
        <w:rPr>
          <w:rFonts w:hint="eastAsia" w:ascii="宋体" w:hAnsi="宋体" w:eastAsia="宋体" w:cs="宋体"/>
          <w:i w:val="0"/>
          <w:iCs w:val="0"/>
          <w:caps w:val="0"/>
          <w:color w:val="000000"/>
          <w:spacing w:val="0"/>
          <w:sz w:val="21"/>
          <w:szCs w:val="21"/>
        </w:rPr>
      </w:pPr>
      <w:r>
        <w:rPr>
          <w:rFonts w:ascii="仿宋_GB2312" w:hAnsi="宋体" w:eastAsia="仿宋_GB2312" w:cs="仿宋_GB2312"/>
          <w:i w:val="0"/>
          <w:iCs w:val="0"/>
          <w:caps w:val="0"/>
          <w:color w:val="000000"/>
          <w:spacing w:val="0"/>
          <w:kern w:val="0"/>
          <w:sz w:val="32"/>
          <w:szCs w:val="32"/>
          <w:shd w:val="clear" w:fill="FFFFFF"/>
          <w:lang w:val="en-US" w:eastAsia="zh-CN" w:bidi="ar"/>
        </w:rPr>
        <w:t>一是进一步加强预算</w:t>
      </w:r>
      <w:r>
        <w:rPr>
          <w:rFonts w:hint="eastAsia" w:ascii="仿宋_GB2312" w:hAnsi="宋体" w:eastAsia="仿宋_GB2312" w:cs="仿宋_GB2312"/>
          <w:i w:val="0"/>
          <w:iCs w:val="0"/>
          <w:caps w:val="0"/>
          <w:color w:val="000000"/>
          <w:spacing w:val="0"/>
          <w:kern w:val="0"/>
          <w:sz w:val="32"/>
          <w:szCs w:val="32"/>
          <w:shd w:val="clear" w:fill="FFFFFF"/>
          <w:lang w:val="en-US" w:eastAsia="zh-CN" w:bidi="ar"/>
        </w:rPr>
        <w:t>绩效意识，按照预算绩效管理规定要求，把住项目源头关，严格制定绩效项目，促使绩效项目实施部门从项目产出指标、效益指标等方面多下功夫，高质量完成绩效项目的申报工作。</w:t>
      </w:r>
    </w:p>
    <w:p w14:paraId="5DC632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jc w:val="both"/>
        <w:rPr>
          <w:rFonts w:hint="eastAsia" w:ascii="宋体" w:hAnsi="宋体" w:eastAsia="宋体" w:cs="宋体"/>
          <w:i w:val="0"/>
          <w:iCs w:val="0"/>
          <w:caps w:val="0"/>
          <w:color w:val="000000"/>
          <w:spacing w:val="0"/>
          <w:sz w:val="21"/>
          <w:szCs w:val="21"/>
        </w:rPr>
      </w:pPr>
      <w:r>
        <w:rPr>
          <w:rFonts w:hint="eastAsia" w:ascii="仿宋_GB2312" w:hAnsi="宋体" w:eastAsia="仿宋_GB2312" w:cs="仿宋_GB2312"/>
          <w:i w:val="0"/>
          <w:iCs w:val="0"/>
          <w:caps w:val="0"/>
          <w:color w:val="000000"/>
          <w:spacing w:val="0"/>
          <w:kern w:val="0"/>
          <w:sz w:val="32"/>
          <w:szCs w:val="32"/>
          <w:shd w:val="clear" w:fill="FFFFFF"/>
          <w:lang w:val="en-US" w:eastAsia="zh-CN" w:bidi="ar"/>
        </w:rPr>
        <w:t>二是进一步加强与财政部门的沟通联系，尽早取得资金的拨付，保障项目资金的投入进度，提高资金的使用效率。</w:t>
      </w:r>
    </w:p>
    <w:p w14:paraId="47B02B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jc w:val="both"/>
        <w:rPr>
          <w:rFonts w:hint="default" w:ascii="Times New Roman" w:hAnsi="Times New Roman" w:eastAsia="黑体" w:cs="Times New Roman"/>
          <w:sz w:val="32"/>
          <w:szCs w:val="32"/>
          <w:highlight w:val="none"/>
        </w:rPr>
      </w:pPr>
      <w:r>
        <w:rPr>
          <w:rFonts w:hint="eastAsia" w:ascii="仿宋_GB2312" w:hAnsi="宋体" w:eastAsia="仿宋_GB2312" w:cs="仿宋_GB2312"/>
          <w:i w:val="0"/>
          <w:iCs w:val="0"/>
          <w:caps w:val="0"/>
          <w:color w:val="000000"/>
          <w:spacing w:val="0"/>
          <w:kern w:val="0"/>
          <w:sz w:val="32"/>
          <w:szCs w:val="32"/>
          <w:shd w:val="clear" w:fill="FFFFFF"/>
          <w:lang w:val="en-US" w:eastAsia="zh-CN" w:bidi="ar"/>
        </w:rPr>
        <w:t>三是进一步加大对专项资金支出的审核力度，严格按照相关资金及项目管理办法、制度，做到专款专用。</w:t>
      </w:r>
    </w:p>
    <w:p w14:paraId="610D1A92">
      <w:pPr>
        <w:keepNext w:val="0"/>
        <w:keepLines w:val="0"/>
        <w:pageBreakBefore w:val="0"/>
        <w:widowControl/>
        <w:numPr>
          <w:ilvl w:val="0"/>
          <w:numId w:val="4"/>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部门整体支出绩效自评结果拟应用和公开情况</w:t>
      </w:r>
    </w:p>
    <w:p w14:paraId="281EC386">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绩效自评结果将作为单位年终绩效考评的依据，</w:t>
      </w:r>
      <w:r>
        <w:rPr>
          <w:rFonts w:hint="eastAsia" w:ascii="仿宋" w:hAnsi="仿宋" w:eastAsia="仿宋" w:cs="仿宋"/>
          <w:i w:val="0"/>
          <w:iCs w:val="0"/>
          <w:caps w:val="0"/>
          <w:color w:val="000000"/>
          <w:spacing w:val="0"/>
          <w:sz w:val="32"/>
          <w:szCs w:val="32"/>
          <w:shd w:val="clear" w:fill="FFFFFF"/>
        </w:rPr>
        <w:t>针对绩效评价过程中发现的问题，有针对性地采取措施，改善管理</w:t>
      </w:r>
      <w:r>
        <w:rPr>
          <w:rFonts w:hint="eastAsia" w:ascii="仿宋" w:hAnsi="仿宋" w:eastAsia="仿宋" w:cs="仿宋"/>
          <w:sz w:val="32"/>
          <w:szCs w:val="32"/>
          <w:lang w:val="en-US" w:eastAsia="zh-CN"/>
        </w:rPr>
        <w:t>；按照财政部门要求，本绩效自评情况将于规定时限内在岳阳市国资委官网上公开。</w:t>
      </w:r>
    </w:p>
    <w:p w14:paraId="062D8D2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十、</w:t>
      </w:r>
      <w:r>
        <w:rPr>
          <w:rFonts w:hint="default" w:ascii="Times New Roman" w:hAnsi="Times New Roman" w:eastAsia="黑体" w:cs="Times New Roman"/>
          <w:sz w:val="32"/>
          <w:szCs w:val="32"/>
          <w:highlight w:val="none"/>
        </w:rPr>
        <w:t>其他需要说明的情况</w:t>
      </w:r>
    </w:p>
    <w:p w14:paraId="4F490B6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无</w:t>
      </w:r>
    </w:p>
    <w:p w14:paraId="1105D43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p>
    <w:p w14:paraId="0D91EAB2">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p>
    <w:p w14:paraId="6A31019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p>
    <w:p w14:paraId="4857681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w:t>
      </w:r>
    </w:p>
    <w:p w14:paraId="74138F4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14:paraId="151A3D6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14:paraId="4F024E4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w:t>
      </w:r>
    </w:p>
    <w:p w14:paraId="5A58BC8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14:paraId="4EDDE8B7">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Arial Unicode MS"/>
    <w:panose1 w:val="02000000000000000000"/>
    <w:charset w:val="86"/>
    <w:family w:val="script"/>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846EEF"/>
    <w:multiLevelType w:val="singleLevel"/>
    <w:tmpl w:val="A8846EEF"/>
    <w:lvl w:ilvl="0" w:tentative="0">
      <w:start w:val="1"/>
      <w:numFmt w:val="decimal"/>
      <w:suff w:val="nothing"/>
      <w:lvlText w:val="%1、"/>
      <w:lvlJc w:val="left"/>
      <w:pPr>
        <w:ind w:left="800" w:leftChars="0" w:firstLine="0" w:firstLineChars="0"/>
      </w:pPr>
    </w:lvl>
  </w:abstractNum>
  <w:abstractNum w:abstractNumId="1">
    <w:nsid w:val="AF761C92"/>
    <w:multiLevelType w:val="singleLevel"/>
    <w:tmpl w:val="AF761C92"/>
    <w:lvl w:ilvl="0" w:tentative="0">
      <w:start w:val="1"/>
      <w:numFmt w:val="chineseCounting"/>
      <w:suff w:val="nothing"/>
      <w:lvlText w:val="%1、"/>
      <w:lvlJc w:val="left"/>
      <w:rPr>
        <w:rFonts w:hint="eastAsia"/>
      </w:rPr>
    </w:lvl>
  </w:abstractNum>
  <w:abstractNum w:abstractNumId="2">
    <w:nsid w:val="00C45D03"/>
    <w:multiLevelType w:val="singleLevel"/>
    <w:tmpl w:val="00C45D03"/>
    <w:lvl w:ilvl="0" w:tentative="0">
      <w:start w:val="9"/>
      <w:numFmt w:val="chineseCounting"/>
      <w:suff w:val="nothing"/>
      <w:lvlText w:val="%1、"/>
      <w:lvlJc w:val="left"/>
      <w:rPr>
        <w:rFonts w:hint="eastAsia"/>
      </w:rPr>
    </w:lvl>
  </w:abstractNum>
  <w:abstractNum w:abstractNumId="3">
    <w:nsid w:val="76C3F3E3"/>
    <w:multiLevelType w:val="singleLevel"/>
    <w:tmpl w:val="76C3F3E3"/>
    <w:lvl w:ilvl="0" w:tentative="0">
      <w:start w:val="4"/>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ZDk2MDIwYjdhZDJiYzYxMDYwYTlkMGI3OGYyNDIifQ=="/>
  </w:docVars>
  <w:rsids>
    <w:rsidRoot w:val="59886344"/>
    <w:rsid w:val="04CB5FDF"/>
    <w:rsid w:val="19AB5045"/>
    <w:rsid w:val="1DAB47A7"/>
    <w:rsid w:val="23F21D3E"/>
    <w:rsid w:val="28EC5B74"/>
    <w:rsid w:val="2AA64057"/>
    <w:rsid w:val="2B716615"/>
    <w:rsid w:val="36C73A3F"/>
    <w:rsid w:val="3CC57773"/>
    <w:rsid w:val="4E760382"/>
    <w:rsid w:val="591E5BB0"/>
    <w:rsid w:val="59886344"/>
    <w:rsid w:val="64E75C80"/>
    <w:rsid w:val="6A7A0D56"/>
    <w:rsid w:val="79D74BD9"/>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next w:val="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customStyle="1" w:styleId="7">
    <w:name w:val="列出段落1"/>
    <w:basedOn w:val="1"/>
    <w:qFormat/>
    <w:uiPriority w:val="34"/>
    <w:pPr>
      <w:ind w:firstLine="420" w:firstLineChars="200"/>
    </w:pPr>
  </w:style>
  <w:style w:type="paragraph" w:styleId="8">
    <w:name w:val="List Paragraph"/>
    <w:basedOn w:val="1"/>
    <w:qFormat/>
    <w:uiPriority w:val="99"/>
    <w:pPr>
      <w:ind w:firstLine="420" w:firstLineChars="200"/>
    </w:pPr>
    <w:rPr>
      <w:rFonts w:ascii="Calibri" w:hAnsi="Calibri"/>
      <w:szCs w:val="22"/>
    </w:rPr>
  </w:style>
  <w:style w:type="paragraph" w:customStyle="1" w:styleId="9">
    <w:name w:val="正文缩进1"/>
    <w:basedOn w:val="1"/>
    <w:qFormat/>
    <w:uiPriority w:val="0"/>
    <w:pPr>
      <w:ind w:firstLine="640" w:firstLineChars="200"/>
    </w:pPr>
    <w:rPr>
      <w:rFonts w:ascii="仿宋_GB2312" w:hAnsi="仿宋" w:eastAsia="仿宋_GB2312"/>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4213</Words>
  <Characters>4452</Characters>
  <Lines>0</Lines>
  <Paragraphs>0</Paragraphs>
  <TotalTime>74</TotalTime>
  <ScaleCrop>false</ScaleCrop>
  <LinksUpToDate>false</LinksUpToDate>
  <CharactersWithSpaces>4486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董佳佳</cp:lastModifiedBy>
  <cp:lastPrinted>2024-06-27T08:50:00Z</cp:lastPrinted>
  <dcterms:modified xsi:type="dcterms:W3CDTF">2024-09-26T01:34:25Z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6182D3A10D564617983F46DEE354AEAF</vt:lpwstr>
  </property>
</Properties>
</file>