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2"/>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岳阳市发展和改革委员会</w:t>
      </w: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2"/>
        <w:jc w:val="center"/>
        <w:rPr>
          <w:rFonts w:hint="eastAsia" w:ascii="方正小标宋_GBK" w:hAnsi="方正小标宋_GBK" w:eastAsia="方正小标宋_GBK" w:cs="方正小标宋_GBK"/>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both"/>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岳阳市发展和改革委员会</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概况</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2"/>
        <w:numPr>
          <w:ilvl w:val="0"/>
          <w:numId w:val="1"/>
        </w:numPr>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机构设置</w:t>
      </w:r>
      <w:r>
        <w:rPr>
          <w:rFonts w:hint="eastAsia" w:ascii="仿宋_GB2312" w:hAnsi="仿宋_GB2312" w:eastAsia="仿宋_GB2312" w:cs="仿宋_GB2312"/>
          <w:sz w:val="28"/>
          <w:szCs w:val="28"/>
          <w:lang w:eastAsia="zh-CN"/>
        </w:rPr>
        <w:t>及决算单位构成</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2"/>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岳阳市发展和改革委员会</w:t>
      </w: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部门</w:t>
      </w:r>
      <w:r>
        <w:rPr>
          <w:rFonts w:hint="eastAsia" w:ascii="方正小标宋_GBK" w:hAnsi="方正小标宋_GBK" w:eastAsia="方正小标宋_GBK" w:cs="方正小标宋_GBK"/>
          <w:sz w:val="84"/>
          <w:szCs w:val="84"/>
        </w:rPr>
        <w:t>概况</w:t>
      </w:r>
    </w:p>
    <w:p>
      <w:pPr>
        <w:pStyle w:val="2"/>
        <w:rPr>
          <w:rFonts w:hint="eastAsia" w:ascii="方正小标宋_GBK" w:hAnsi="方正小标宋_GBK" w:eastAsia="方正小标宋_GBK" w:cs="方正小标宋_GBK"/>
          <w:sz w:val="84"/>
          <w:szCs w:val="84"/>
        </w:rPr>
      </w:pPr>
    </w:p>
    <w:p>
      <w:pPr>
        <w:pStyle w:val="3"/>
        <w:rPr>
          <w:rFonts w:hint="eastAsia" w:ascii="方正小标宋_GBK" w:hAnsi="方正小标宋_GBK" w:eastAsia="方正小标宋_GBK" w:cs="方正小标宋_GBK"/>
          <w:sz w:val="84"/>
          <w:szCs w:val="84"/>
        </w:rPr>
      </w:pPr>
    </w:p>
    <w:p>
      <w:pPr>
        <w:pStyle w:val="13"/>
        <w:numPr>
          <w:ilvl w:val="0"/>
          <w:numId w:val="2"/>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1、拟订并组织实施全市国民经济和社会发展战略、中长期规划和年度计划。拟定全市能源发展战略、规划、计划和政策。牵头组织统一规划体系建设。负责市级专项规划、区域规划、空间规划与全市发展规划的统筹衔接。研究拟订全市国民经济和社会发展、经济体制改革和对外开放的有关规章制度，协调解决有关重大问题。受市人民政府委托向市人民代表大会提交国民经济和社会发展计划的报告。</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2、研究提出加快建设现代化经济体系、推动高质量发展的总体目标、重大任务以及相关政策。组织开展重大战略规划、重大政策、重大工程等评估督导，提出相关调整建议。</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3、研究提出全市国民经济和社会发展主要目标，监测预测预警宏观经济和社会发展态势趋势，提出宏观调控政策建议，综合协调宏观经济政策，牵头研究宏观经济应对措施。调节经济运行，协调解决经济运行中的重大问题。拟订并组织实施有关价费政策。参与拟订财政、金融和土地等政策措施。</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4、研究提出和综合协调全市经济体制改革有关工作，提出相关改革建议。牵头推进供给侧结构性改革。协调推进产权制度和要素市场化配置改革，推动完善基本经济制度和现代市场体系建设，会同相关部门组织实施市场准入负面清单制度。组织拟订综合性经济体制改革方案，协调有关专项改革方案。负责推进能源体制改革，协调能源发展和改革中的重大问题。</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5、研究提出全市利用外资和境外投资的战略、规划、总量平衡和结构优化的政策。牵头推进实施“一带一区”建设。统筹协调“走出去”有关工作。负责全市全口径外债的总量控制、结构优化和监测工作。</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6、负责投资综合管理，拟订全市全社会固定资产投资总规模和投资结构的调控目标、政策及措施。统筹安排市级财政性建设资金和投资项目，编制下达政府投资年度计划。规划全市重大建设项目和生产力布局，按权限审批、核准、审核、备案重大项目，审批、管理政府投资项目初步设计概算。拟订并推动落实鼓励民间投资政策措施。研究提出市重点建设项目计划，负责政府投资项目代建制实施的指导、协调和监督管理。指导工程咨询业发展。</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7、推进落实区域协调发展战略、新型城镇化战略和重大政策，组织拟订相关区域规划和政策。贯彻落实国家西部开发、中部崛起、长江经济带开发建设的政策措施，牵头落实“一带一区”发展战略。组织编制区域规划并协调实施。研究制订并统筹促进市内区域协调发展的战略、规划和重大政策。协调两型社会建设。拟订并组织实施全市易地扶贫搬迁、以工代赈规划和计划。参与研究拟订全市新型城镇化发展战略和重大政策措施。制定开发区发展规划和政策。统筹协调区域合作和对口支援工作。</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8、组织拟订综合性产业政策，负责协调一二三产业发展的重大问题并统筹衔接相关发展规划和重大政策。协调推进重大基础设施建设。协调农业农村经济发展有关重大问题。统筹全市服务业发展与改革，组织拟订并推动实施服务业发展规划及现代物流业发展规划和重大政策。综合研判消费变动趋势，研究协调解决扩大居民消费中的重大问题，拟订实施促进消费的综合性政策措施。</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9、推动实施创新驱动发展战略。会同相关部门拟订推进创新创业的规划和政策，提出创新发展和培育经济发展新动能的政策措施。组织拟订战略性新兴产业发展规划政策；会同有关部门组织拟订实施高技术产业发展、产业技术进步规划政策；研究提出新型工业化和产业集群发展的政策措施；实施高新技术产业发展的宏观指导，协调产业升级、重大技术装备推广应用等方面的重大问题。</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10、跟踪研判涉及经济安全、生态安全、资源安全、科技安全、社会安全等各类风险隐患，提出相关工作建议。承担经济、生态、资源等重点领域国家安全工作协调机制相关工作。承担重要商品总量平衡和宏观调控，提出重要工业品、原材料和重要农产品进出口调控意见。根据经济运行情况对计划进行调整。研究提出全市战略物资储备规划、全市储备品种目录的建议。根据全市储备总体发展规划和品种目录，组织实施全市战略和应急储备物资的收储、轮换和日常管理，落实有关动用计划和指令。</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11、负责社会发展与国民经济发展的政策衔接，组织拟订社会发展战略、总体规划。协调社会领域事业和产业发展政策及改革重大问题。统筹推进基本公共服务体系建设和收入分配制度改革，研究提出推进就业、完善社会保障与经济协调发展的政策建议。</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12、推进可持续发展战略，推动生态文明建设和改革，协调生态环境保护与修复、能源资源节约和综合利用等工作。参与编制生态文明建设、环境保护规划，协调生态建设、能源资源节约和综合利用的重大问题，会同有关部门提出建立健全生态补偿机制的政策措施。综合协调节能环保产业和清洁生产促进有关工作；完善固定资产投资项目节能评估和审查制度。负责能源行业统计、预测预警；拟订煤炭、电力、石油、天然气、新能源、可再生能源和分布式能源发展规划、计划和政策并组织实施。</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13、拟订全市价格改革方案和年度计划，研究提出价格调控目标和政策建议，组织实施价格总水平调控。组织起草有关价格收费法规草案和政策。承担问政府管理的重要商品和服务价格管理工作。承担行政事业性收费管理工作。承担价格监测、市场价格形势分析和涉案物价格鉴证工作。负责价格成本调查和监审。</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14、指导和协调全市公共资源交易平台建设，牵头组织监督公共资源交易活动。牵头开展社会信用体系建设，研究拟订推进社会信用体系建设的规划和政策措施，统筹推进统一的信用信息平台建设，协调有关重大问题。</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15、会同有关部门拟订推进全市经济建设与国防建设协调发展的战略和规划，协调有关重大问题。推动实施军民融合发展战略，组织编制全市国民经济动员规划，协调和组织实施全市国民经济动员有关工作。</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16、承担市国防动员委员会、市推动长江经济带发展领导小组、洞庭湖生态经济区建设等有关具体工作。</w:t>
      </w:r>
    </w:p>
    <w:p>
      <w:pPr>
        <w:numPr>
          <w:ilvl w:val="0"/>
          <w:numId w:val="0"/>
        </w:numPr>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17、完成市委、市政府交办的其他任务。</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pStyle w:val="12"/>
        <w:numPr>
          <w:ilvl w:val="0"/>
          <w:numId w:val="0"/>
        </w:numPr>
        <w:spacing w:line="5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pPr>
        <w:pStyle w:val="12"/>
        <w:numPr>
          <w:ilvl w:val="0"/>
          <w:numId w:val="0"/>
        </w:numPr>
        <w:spacing w:line="500" w:lineRule="exact"/>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 xml:space="preserve">根据编委核定，我委内设27个科室，所属事业单位3个。 </w:t>
      </w:r>
    </w:p>
    <w:p>
      <w:pPr>
        <w:pStyle w:val="12"/>
        <w:numPr>
          <w:ilvl w:val="0"/>
          <w:numId w:val="0"/>
        </w:numPr>
        <w:spacing w:line="500" w:lineRule="exact"/>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 xml:space="preserve">内设科室分别是 ：办公室、国民经济综合和规划科、法规科、固定资产投资科、地区经济科、农村经济科和对口支援科、工业交通外经科、财贸服务和信用建设科、资源节约环境保护和两型社会建设科、社会发展科、服务价格和收费管理科、商品价格和调控管理科、行政审批科、长江经济带和洞庭湖发展办公室、能源科、评估督导科、成本调查监审科、粮食产业发展科、粮食调控与储备科、物资储备科、财经科、人事科、机关党委、机关纪委、离退休人员管理科、财务科、工会。 </w:t>
      </w:r>
    </w:p>
    <w:p>
      <w:pPr>
        <w:pStyle w:val="12"/>
        <w:numPr>
          <w:ilvl w:val="0"/>
          <w:numId w:val="0"/>
        </w:numPr>
        <w:spacing w:line="500" w:lineRule="exact"/>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所属事业单位分别是 ：岳阳市重点项目事务中心、岳阳市发展改革事务中心、军粮供应中心。</w:t>
      </w:r>
    </w:p>
    <w:p>
      <w:pPr>
        <w:pStyle w:val="12"/>
        <w:numPr>
          <w:ilvl w:val="0"/>
          <w:numId w:val="3"/>
        </w:numPr>
        <w:spacing w:line="500" w:lineRule="exact"/>
        <w:ind w:firstLine="640" w:firstLineChars="200"/>
        <w:rPr>
          <w:rFonts w:hint="eastAsia" w:ascii="Times New Roman" w:hAnsi="Times New Roman" w:eastAsia="仿宋_GB2312" w:cs="仿宋_GB2312"/>
          <w:bCs/>
          <w:color w:val="000000"/>
          <w:kern w:val="0"/>
          <w:sz w:val="32"/>
          <w:szCs w:val="32"/>
          <w:lang w:val="en-US" w:eastAsia="zh-CN" w:bidi="ar-SA"/>
        </w:rPr>
      </w:pPr>
      <w:r>
        <w:rPr>
          <w:rFonts w:hint="eastAsia" w:ascii="Times New Roman" w:hAnsi="Times New Roman" w:eastAsia="仿宋_GB2312" w:cs="仿宋_GB2312"/>
          <w:bCs/>
          <w:color w:val="000000"/>
          <w:kern w:val="0"/>
          <w:sz w:val="32"/>
          <w:szCs w:val="32"/>
          <w:lang w:val="en-US" w:eastAsia="zh-CN" w:bidi="ar-SA"/>
        </w:rPr>
        <w:t>决算单位构成。</w:t>
      </w:r>
    </w:p>
    <w:p>
      <w:pPr>
        <w:pStyle w:val="12"/>
        <w:numPr>
          <w:ilvl w:val="0"/>
          <w:numId w:val="0"/>
        </w:numPr>
        <w:spacing w:line="500" w:lineRule="exact"/>
        <w:ind w:firstLine="560" w:firstLineChars="2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岳阳市发展和改革委员会单位2023年部门决算汇总公开单位构成包括：2023年度部门决算汇总公开单位仅包括岳阳市发展和改革委单位本级</w:t>
      </w:r>
    </w:p>
    <w:p>
      <w:pPr>
        <w:widowControl/>
        <w:spacing w:line="600" w:lineRule="exact"/>
        <w:rPr>
          <w:rFonts w:hint="eastAsia" w:ascii="Times New Roman" w:hAnsi="Times New Roman" w:eastAsia="仿宋_GB2312" w:cs="仿宋_GB2312"/>
          <w:bCs/>
          <w:kern w:val="0"/>
          <w:sz w:val="32"/>
          <w:szCs w:val="32"/>
        </w:rPr>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2"/>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p>
    <w:p>
      <w:pPr>
        <w:pStyle w:val="12"/>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p>
    <w:p>
      <w:pPr>
        <w:pStyle w:val="12"/>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3861.83</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403.23</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11.76</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粮食部门转隶至我单位，人员经费及相关费用增加。</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3831.83</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3686.96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96.22</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144.87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3.78</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3831.83</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3071.43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80.15</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760.40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19.85</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2"/>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3686.96</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313.48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9.29</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粮食部门转隶至我单位，人员经费及相关费用增加。</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i/>
          <w:iCs/>
          <w:color w:val="FF0000"/>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3686.96</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96.22</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313.48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9.29</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粮食部门转隶至我单位，人员经费及相关费用增加。</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3686.96</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2857.51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77.5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科学技术</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1.25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0.04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社会保障和就业（类）支出</w:t>
      </w:r>
      <w:r>
        <w:rPr>
          <w:rFonts w:hint="eastAsia" w:ascii="仿宋_GB2312" w:hAnsi="仿宋_GB2312" w:eastAsia="仿宋_GB2312" w:cs="仿宋_GB2312"/>
          <w:sz w:val="32"/>
          <w:szCs w:val="32"/>
          <w:lang w:val="en-US" w:eastAsia="zh-CN"/>
        </w:rPr>
        <w:t>454.31万元，占12.32%；卫生健康（类）支出130.2万元，占3.53%；节能环保（类）支出6.59万元，占0.18%；城乡社区支出6.31万元，占0.17%；农林水（类）支出82.68万元，占2.24%；住房保障（类）支出143.22万元，占3.88%；粮油物资储备（类）支出4.88万元，占0.14%。</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1996.69</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3686.96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184.65</w:t>
      </w:r>
      <w:r>
        <w:rPr>
          <w:rFonts w:hint="eastAsia" w:ascii="仿宋_GB2312" w:hAnsi="仿宋_GB2312" w:eastAsia="仿宋_GB2312" w:cs="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1、一般公共服务（类）</w:t>
      </w:r>
      <w:r>
        <w:rPr>
          <w:rFonts w:hint="eastAsia" w:ascii="仿宋_GB2312" w:hAnsi="仿宋_GB2312" w:eastAsia="仿宋_GB2312" w:cs="仿宋_GB2312"/>
          <w:sz w:val="32"/>
          <w:szCs w:val="32"/>
          <w:lang w:eastAsia="zh-CN"/>
        </w:rPr>
        <w:t>人大事务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一般行政管理事务</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rPr>
        <w:t>由于预算数为0，无法计算百分比，决算数大于年初预算数的主要原因是：</w:t>
      </w:r>
      <w:r>
        <w:rPr>
          <w:rFonts w:hint="eastAsia" w:ascii="Times New Roman" w:hAnsi="Times New Roman" w:eastAsia="仿宋_GB2312"/>
          <w:sz w:val="32"/>
          <w:szCs w:val="32"/>
          <w:lang w:eastAsia="zh-CN"/>
        </w:rPr>
        <w:t>其他资金收回错付款。</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2、一般公共服务（类）</w:t>
      </w:r>
      <w:r>
        <w:rPr>
          <w:rFonts w:hint="eastAsia" w:ascii="仿宋_GB2312" w:hAnsi="仿宋_GB2312" w:eastAsia="仿宋_GB2312" w:cs="仿宋_GB2312"/>
          <w:sz w:val="32"/>
          <w:szCs w:val="32"/>
          <w:lang w:eastAsia="zh-CN"/>
        </w:rPr>
        <w:t>发展与改革事务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行政运行</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1375.48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1893.51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137.66</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eastAsia="zh-CN"/>
        </w:rPr>
        <w:t>粮食部门转隶，人员及相关费用增加。</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一般公共服务（类）</w:t>
      </w:r>
      <w:r>
        <w:rPr>
          <w:rFonts w:hint="eastAsia" w:ascii="仿宋_GB2312" w:hAnsi="仿宋_GB2312" w:eastAsia="仿宋_GB2312" w:cs="仿宋_GB2312"/>
          <w:sz w:val="32"/>
          <w:szCs w:val="32"/>
          <w:lang w:eastAsia="zh-CN"/>
        </w:rPr>
        <w:t>发展与改革事务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一般行政管理事务</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153.34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613.36</w:t>
      </w:r>
      <w:r>
        <w:rPr>
          <w:rFonts w:hint="eastAsia" w:ascii="仿宋_GB2312" w:hAnsi="仿宋_GB2312" w:eastAsia="仿宋_GB2312" w:cs="仿宋_GB2312"/>
          <w:sz w:val="32"/>
          <w:szCs w:val="32"/>
        </w:rPr>
        <w:t>%，决算数大于年初预算数的主要原因是：</w:t>
      </w:r>
      <w:r>
        <w:rPr>
          <w:rFonts w:hint="eastAsia" w:ascii="Times New Roman" w:hAnsi="Times New Roman" w:eastAsia="仿宋_GB2312"/>
          <w:sz w:val="32"/>
          <w:szCs w:val="32"/>
          <w:lang w:eastAsia="zh-CN"/>
        </w:rPr>
        <w:t>为促进我委各项目的发展，完成各项目及评审咨询费用，下达重大项目前期工作经费及评审经费。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一般公共服务（类）</w:t>
      </w:r>
      <w:r>
        <w:rPr>
          <w:rFonts w:hint="eastAsia" w:ascii="仿宋_GB2312" w:hAnsi="仿宋_GB2312" w:eastAsia="仿宋_GB2312" w:cs="仿宋_GB2312"/>
          <w:sz w:val="32"/>
          <w:szCs w:val="32"/>
          <w:lang w:eastAsia="zh-CN"/>
        </w:rPr>
        <w:t>发展与改革事务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社会事业发展规划</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5.19</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rPr>
        <w:t>由于预算数为0，无法计算百分比</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eastAsia="zh-CN"/>
        </w:rPr>
        <w:t>上年结转费用支出。</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一般公共服务（类）</w:t>
      </w:r>
      <w:r>
        <w:rPr>
          <w:rFonts w:hint="eastAsia" w:ascii="仿宋_GB2312" w:hAnsi="仿宋_GB2312" w:eastAsia="仿宋_GB2312" w:cs="仿宋_GB2312"/>
          <w:sz w:val="32"/>
          <w:szCs w:val="32"/>
          <w:lang w:eastAsia="zh-CN"/>
        </w:rPr>
        <w:t>发展与改革事务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物价管理</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rPr>
        <w:t>由于预算数为0，无法计算百分比</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eastAsia="zh-CN"/>
        </w:rPr>
        <w:t>上年结转物价相关经费，用于价格监测点相关支出。</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、一般公共服务（类）</w:t>
      </w:r>
      <w:r>
        <w:rPr>
          <w:rFonts w:hint="eastAsia" w:ascii="仿宋_GB2312" w:hAnsi="仿宋_GB2312" w:eastAsia="仿宋_GB2312" w:cs="仿宋_GB2312"/>
          <w:sz w:val="32"/>
          <w:szCs w:val="32"/>
          <w:lang w:eastAsia="zh-CN"/>
        </w:rPr>
        <w:t>发展与改革事务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其他一般公共服务支出</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251.48</w:t>
      </w:r>
      <w:r>
        <w:rPr>
          <w:rFonts w:hint="eastAsia" w:ascii="Times New Roman" w:hAnsi="Times New Roman" w:eastAsia="仿宋_GB2312"/>
          <w:sz w:val="32"/>
          <w:szCs w:val="32"/>
        </w:rPr>
        <w:t>万元，由于预算数为0，无法计算百分比，决算数大于年初预算数的主要原因是：</w:t>
      </w:r>
      <w:r>
        <w:rPr>
          <w:rFonts w:hint="eastAsia" w:ascii="Times New Roman" w:hAnsi="Times New Roman" w:eastAsia="仿宋_GB2312"/>
          <w:sz w:val="32"/>
          <w:szCs w:val="32"/>
          <w:lang w:eastAsia="zh-CN"/>
        </w:rPr>
        <w:t>上年结转用于基本建设资金。</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一般公共服务（类）</w:t>
      </w:r>
      <w:r>
        <w:rPr>
          <w:rFonts w:hint="eastAsia" w:ascii="仿宋_GB2312" w:hAnsi="仿宋_GB2312" w:eastAsia="仿宋_GB2312" w:cs="仿宋_GB2312"/>
          <w:sz w:val="32"/>
          <w:szCs w:val="32"/>
          <w:lang w:eastAsia="zh-CN"/>
        </w:rPr>
        <w:t>商贸事务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行政运行</w:t>
      </w:r>
      <w:r>
        <w:rPr>
          <w:rFonts w:hint="eastAsia" w:ascii="仿宋_GB2312" w:hAnsi="仿宋_GB2312" w:eastAsia="仿宋_GB2312" w:cs="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547.89</w:t>
      </w:r>
      <w:r>
        <w:rPr>
          <w:rFonts w:hint="eastAsia" w:ascii="仿宋_GB2312" w:hAnsi="仿宋_GB2312" w:eastAsia="仿宋_GB2312" w:cs="仿宋_GB2312"/>
          <w:sz w:val="32"/>
          <w:szCs w:val="32"/>
        </w:rPr>
        <w:t>万元，</w:t>
      </w:r>
      <w:r>
        <w:rPr>
          <w:rFonts w:hint="eastAsia" w:ascii="Times New Roman" w:hAnsi="Times New Roman" w:eastAsia="仿宋_GB2312"/>
          <w:sz w:val="32"/>
          <w:szCs w:val="32"/>
        </w:rPr>
        <w:t>由于预算数为0，无法计算百分比</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eastAsia="zh-CN"/>
        </w:rPr>
        <w:t>预算内下达的离休费、津贴补贴。</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、科学技术支出（类）</w:t>
      </w:r>
      <w:r>
        <w:rPr>
          <w:rFonts w:hint="eastAsia" w:ascii="Times New Roman" w:hAnsi="Times New Roman" w:eastAsia="仿宋_GB2312"/>
          <w:sz w:val="32"/>
          <w:szCs w:val="32"/>
          <w:lang w:eastAsia="zh-CN"/>
        </w:rPr>
        <w:t>技术研究与开发</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 xml:space="preserve"> 其他技术研究与开发支出</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1.25</w:t>
      </w:r>
      <w:r>
        <w:rPr>
          <w:rFonts w:hint="eastAsia" w:ascii="Times New Roman" w:hAnsi="Times New Roman" w:eastAsia="仿宋_GB2312"/>
          <w:sz w:val="32"/>
          <w:szCs w:val="32"/>
        </w:rPr>
        <w:t>万元，由于预算数为0，无法计算百分比，决算数大于年初预算数的主要原因是：</w:t>
      </w:r>
      <w:r>
        <w:rPr>
          <w:rFonts w:hint="eastAsia" w:ascii="Times New Roman" w:hAnsi="Times New Roman" w:eastAsia="仿宋_GB2312"/>
          <w:sz w:val="32"/>
          <w:szCs w:val="32"/>
          <w:lang w:eastAsia="zh-CN"/>
        </w:rPr>
        <w:t>上年结转奖励资金。</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离退休人员管理机构</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241.9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239.93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99.18</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color w:val="000000" w:themeColor="text1"/>
          <w:sz w:val="32"/>
          <w:szCs w:val="32"/>
          <w:lang w:eastAsia="zh-CN"/>
          <w14:textFill>
            <w14:solidFill>
              <w14:schemeClr w14:val="tx1"/>
            </w14:solidFill>
          </w14:textFill>
        </w:rPr>
        <w:t>离退休干部离世。</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 xml:space="preserve"> 机关事业单位基本养老保险缴费支出</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121.87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147.58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121.10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val="en-US" w:eastAsia="zh-CN"/>
        </w:rPr>
        <w:t>粮食部门转隶，离退休人员增加。</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eastAsia="zh-CN"/>
        </w:rPr>
        <w:t>抚恤</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 xml:space="preserve"> 其他优抚支出</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57.82</w:t>
      </w:r>
      <w:r>
        <w:rPr>
          <w:rFonts w:hint="eastAsia" w:ascii="Times New Roman" w:hAnsi="Times New Roman" w:eastAsia="仿宋_GB2312"/>
          <w:sz w:val="32"/>
          <w:szCs w:val="32"/>
        </w:rPr>
        <w:t>万元，由于预算数为0，无法计算百分比，决算数大于年初预算数的主要原因是：</w:t>
      </w:r>
      <w:r>
        <w:rPr>
          <w:rFonts w:hint="eastAsia" w:ascii="Times New Roman" w:hAnsi="Times New Roman" w:eastAsia="仿宋_GB2312"/>
          <w:sz w:val="32"/>
          <w:szCs w:val="32"/>
          <w:lang w:val="en-US" w:eastAsia="zh-CN"/>
        </w:rPr>
        <w:t>2023年过世老干部产生的相关抚恤金以及遗属的困难补助费用。</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eastAsia="zh-CN"/>
        </w:rPr>
        <w:t>退役安置</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军队专业干部安置（项）</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4.39</w:t>
      </w:r>
      <w:r>
        <w:rPr>
          <w:rFonts w:hint="eastAsia" w:ascii="Times New Roman" w:hAnsi="Times New Roman" w:eastAsia="仿宋_GB2312"/>
          <w:sz w:val="32"/>
          <w:szCs w:val="32"/>
        </w:rPr>
        <w:t>万元，由于预算数为0，无法计算百分比，决算数大于年初预算数的主要原因是：</w:t>
      </w:r>
      <w:r>
        <w:rPr>
          <w:rFonts w:hint="eastAsia" w:ascii="Times New Roman" w:hAnsi="Times New Roman" w:eastAsia="仿宋_GB2312"/>
          <w:sz w:val="32"/>
          <w:szCs w:val="32"/>
          <w:lang w:val="en-US" w:eastAsia="zh-CN"/>
        </w:rPr>
        <w:t>粮食部门转隶，划转企业军转干部费用。</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、社会保障和就业支出（类）</w:t>
      </w:r>
      <w:r>
        <w:rPr>
          <w:rFonts w:hint="eastAsia" w:ascii="Times New Roman" w:hAnsi="Times New Roman" w:eastAsia="仿宋_GB2312"/>
          <w:sz w:val="32"/>
          <w:szCs w:val="32"/>
          <w:lang w:eastAsia="zh-CN"/>
        </w:rPr>
        <w:t>退役安置</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 xml:space="preserve"> 其他退役安置支出</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4.59</w:t>
      </w:r>
      <w:r>
        <w:rPr>
          <w:rFonts w:hint="eastAsia" w:ascii="Times New Roman" w:hAnsi="Times New Roman" w:eastAsia="仿宋_GB2312"/>
          <w:sz w:val="32"/>
          <w:szCs w:val="32"/>
        </w:rPr>
        <w:t>万元，由于预算数为0，无法计算百分比，决算数大于年初预算数的主要原因是：</w:t>
      </w:r>
      <w:r>
        <w:rPr>
          <w:rFonts w:hint="eastAsia" w:ascii="Times New Roman" w:hAnsi="Times New Roman" w:eastAsia="仿宋_GB2312"/>
          <w:sz w:val="32"/>
          <w:szCs w:val="32"/>
          <w:lang w:val="en-US" w:eastAsia="zh-CN"/>
        </w:rPr>
        <w:t>粮食部门转隶，划转企业军转干部费用。</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、卫生健康支出（类）</w:t>
      </w:r>
      <w:r>
        <w:rPr>
          <w:rFonts w:hint="eastAsia" w:ascii="Times New Roman" w:hAnsi="Times New Roman" w:eastAsia="仿宋_GB2312"/>
          <w:sz w:val="32"/>
          <w:szCs w:val="32"/>
          <w:lang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 xml:space="preserve"> 行政单位医疗</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116.67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130.2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111.59</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val="en-US" w:eastAsia="zh-CN"/>
        </w:rPr>
        <w:t>粮食部门转隶，人员浮动大。</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、卫生健康支出（类）</w:t>
      </w:r>
      <w:r>
        <w:rPr>
          <w:rFonts w:hint="eastAsia" w:ascii="Times New Roman" w:hAnsi="Times New Roman" w:eastAsia="仿宋_GB2312"/>
          <w:sz w:val="32"/>
          <w:szCs w:val="32"/>
          <w:lang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 xml:space="preserve"> 公务员医疗补助</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19.42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万元，由于</w:t>
      </w:r>
      <w:r>
        <w:rPr>
          <w:rFonts w:hint="eastAsia" w:ascii="Times New Roman" w:hAnsi="Times New Roman" w:eastAsia="仿宋_GB2312"/>
          <w:sz w:val="32"/>
          <w:szCs w:val="32"/>
          <w:lang w:eastAsia="zh-CN"/>
        </w:rPr>
        <w:t>决</w:t>
      </w:r>
      <w:r>
        <w:rPr>
          <w:rFonts w:hint="eastAsia" w:ascii="Times New Roman" w:hAnsi="Times New Roman" w:eastAsia="仿宋_GB2312"/>
          <w:sz w:val="32"/>
          <w:szCs w:val="32"/>
        </w:rPr>
        <w:t>算数为0，无法计算百分比，决算数小于年初预算数的主要原因是：</w:t>
      </w:r>
      <w:r>
        <w:rPr>
          <w:rFonts w:hint="eastAsia" w:ascii="Times New Roman" w:hAnsi="Times New Roman" w:eastAsia="仿宋_GB2312"/>
          <w:sz w:val="32"/>
          <w:szCs w:val="32"/>
          <w:lang w:val="en-US" w:eastAsia="zh-CN"/>
        </w:rPr>
        <w:t>该资金财政代扣。</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、节能环保支出（类）</w:t>
      </w:r>
      <w:r>
        <w:rPr>
          <w:rFonts w:hint="eastAsia" w:ascii="Times New Roman" w:hAnsi="Times New Roman" w:eastAsia="仿宋_GB2312"/>
          <w:sz w:val="32"/>
          <w:szCs w:val="32"/>
          <w:lang w:eastAsia="zh-CN"/>
        </w:rPr>
        <w:t>节能环保支出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其他环境保护管理事务支出</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6.59</w:t>
      </w:r>
      <w:r>
        <w:rPr>
          <w:rFonts w:hint="eastAsia" w:ascii="Times New Roman" w:hAnsi="Times New Roman" w:eastAsia="仿宋_GB2312"/>
          <w:sz w:val="32"/>
          <w:szCs w:val="32"/>
        </w:rPr>
        <w:t>万元，由于预算数为0，无法计算百分比，决算数大于年初预算数的主要原因是：</w:t>
      </w:r>
      <w:r>
        <w:rPr>
          <w:rFonts w:hint="eastAsia" w:ascii="Times New Roman" w:hAnsi="Times New Roman" w:eastAsia="仿宋_GB2312"/>
          <w:sz w:val="32"/>
          <w:szCs w:val="32"/>
          <w:lang w:eastAsia="zh-CN"/>
        </w:rPr>
        <w:t>我委为开展重大项目工作经费，</w:t>
      </w:r>
      <w:r>
        <w:rPr>
          <w:rFonts w:hint="eastAsia" w:ascii="仿宋_GB2312" w:hAnsi="宋体" w:eastAsia="仿宋_GB2312" w:cs="仿宋_GB2312"/>
          <w:i w:val="0"/>
          <w:iCs w:val="0"/>
          <w:caps w:val="0"/>
          <w:color w:val="454545"/>
          <w:spacing w:val="0"/>
          <w:sz w:val="31"/>
          <w:szCs w:val="31"/>
          <w:shd w:val="clear" w:fill="FFFFFF"/>
          <w:lang w:eastAsia="zh-CN"/>
        </w:rPr>
        <w:t>该</w:t>
      </w:r>
      <w:r>
        <w:rPr>
          <w:rFonts w:ascii="仿宋_GB2312" w:hAnsi="宋体" w:eastAsia="仿宋_GB2312" w:cs="仿宋_GB2312"/>
          <w:i w:val="0"/>
          <w:iCs w:val="0"/>
          <w:caps w:val="0"/>
          <w:color w:val="454545"/>
          <w:spacing w:val="0"/>
          <w:sz w:val="31"/>
          <w:szCs w:val="31"/>
          <w:shd w:val="clear" w:fill="FFFFFF"/>
        </w:rPr>
        <w:t>资金未纳入年初预算</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、城乡社区支出（类）</w:t>
      </w:r>
      <w:r>
        <w:rPr>
          <w:rFonts w:hint="eastAsia" w:ascii="Times New Roman" w:hAnsi="Times New Roman" w:eastAsia="仿宋_GB2312"/>
          <w:sz w:val="32"/>
          <w:szCs w:val="32"/>
          <w:lang w:eastAsia="zh-CN"/>
        </w:rPr>
        <w:t>城乡社区支出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其他城乡社区管理事务支出</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万元，由于预算数为0，无法计算百分比，决算数大于年初预算数的主要原因是：</w:t>
      </w:r>
      <w:r>
        <w:rPr>
          <w:rFonts w:hint="eastAsia" w:ascii="Times New Roman" w:hAnsi="Times New Roman" w:eastAsia="仿宋_GB2312"/>
          <w:sz w:val="32"/>
          <w:szCs w:val="32"/>
          <w:lang w:eastAsia="zh-CN"/>
        </w:rPr>
        <w:t>上年结转经费。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、城乡社区支出（类）</w:t>
      </w:r>
      <w:r>
        <w:rPr>
          <w:rFonts w:hint="eastAsia" w:ascii="Times New Roman" w:hAnsi="Times New Roman" w:eastAsia="仿宋_GB2312"/>
          <w:sz w:val="32"/>
          <w:szCs w:val="32"/>
          <w:lang w:eastAsia="zh-CN"/>
        </w:rPr>
        <w:t>其他城乡社区支出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其他城乡社区支出</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5.31</w:t>
      </w:r>
      <w:r>
        <w:rPr>
          <w:rFonts w:hint="eastAsia" w:ascii="Times New Roman" w:hAnsi="Times New Roman" w:eastAsia="仿宋_GB2312"/>
          <w:sz w:val="32"/>
          <w:szCs w:val="32"/>
        </w:rPr>
        <w:t>万元，由于预算数为0，无法计算百分比，决算数大于年初预算数的主要原因是：</w:t>
      </w:r>
      <w:r>
        <w:rPr>
          <w:rFonts w:hint="eastAsia" w:ascii="Times New Roman" w:hAnsi="Times New Roman" w:eastAsia="仿宋_GB2312"/>
          <w:sz w:val="32"/>
          <w:szCs w:val="32"/>
          <w:lang w:eastAsia="zh-CN"/>
        </w:rPr>
        <w:t>上年结转经费。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19</w:t>
      </w:r>
      <w:r>
        <w:rPr>
          <w:rFonts w:hint="eastAsia" w:ascii="Times New Roman" w:hAnsi="Times New Roman" w:eastAsia="仿宋_GB2312"/>
          <w:sz w:val="32"/>
          <w:szCs w:val="32"/>
        </w:rPr>
        <w:t>、农林水支出（类）</w:t>
      </w:r>
      <w:r>
        <w:rPr>
          <w:rFonts w:hint="eastAsia" w:ascii="Times New Roman" w:hAnsi="Times New Roman" w:eastAsia="仿宋_GB2312"/>
          <w:sz w:val="32"/>
          <w:szCs w:val="32"/>
          <w:lang w:eastAsia="zh-CN"/>
        </w:rPr>
        <w:t>农业农村</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 xml:space="preserve"> 农产品质量安全</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32.68</w:t>
      </w:r>
      <w:r>
        <w:rPr>
          <w:rFonts w:hint="eastAsia" w:ascii="Times New Roman" w:hAnsi="Times New Roman" w:eastAsia="仿宋_GB2312"/>
          <w:sz w:val="32"/>
          <w:szCs w:val="32"/>
        </w:rPr>
        <w:t>万元，由于预算数为0，无法计算百分比，决算数大于年初预算数的主要原因是：</w:t>
      </w:r>
      <w:r>
        <w:rPr>
          <w:rFonts w:hint="eastAsia" w:ascii="Times New Roman" w:hAnsi="Times New Roman" w:eastAsia="仿宋_GB2312"/>
          <w:sz w:val="32"/>
          <w:szCs w:val="32"/>
          <w:lang w:eastAsia="zh-CN"/>
        </w:rPr>
        <w:t>粮食储备监管经费，未纳入预算。</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、农林水支出（类）</w:t>
      </w:r>
      <w:r>
        <w:rPr>
          <w:rFonts w:hint="eastAsia" w:ascii="Times New Roman" w:hAnsi="Times New Roman" w:eastAsia="仿宋_GB2312"/>
          <w:sz w:val="32"/>
          <w:szCs w:val="32"/>
          <w:lang w:eastAsia="zh-CN"/>
        </w:rPr>
        <w:t>巩固脱贫攻坚成果衔接乡村振兴支出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 xml:space="preserve">其他巩固脱贫攻坚成果衔接乡村振兴支出 </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50</w:t>
      </w:r>
      <w:r>
        <w:rPr>
          <w:rFonts w:hint="eastAsia" w:ascii="Times New Roman" w:hAnsi="Times New Roman" w:eastAsia="仿宋_GB2312"/>
          <w:sz w:val="32"/>
          <w:szCs w:val="32"/>
        </w:rPr>
        <w:t>万元，由于预算数为0，无法计算百分比，决算数大于年初预算数的主要原因是：</w:t>
      </w:r>
      <w:r>
        <w:rPr>
          <w:rFonts w:hint="eastAsia" w:ascii="Times New Roman" w:hAnsi="Times New Roman" w:eastAsia="仿宋_GB2312"/>
          <w:sz w:val="32"/>
          <w:szCs w:val="32"/>
          <w:lang w:eastAsia="zh-CN"/>
        </w:rPr>
        <w:t>对口支援资金专项资金未纳入年初预算。</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住房保障支出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住房改革支出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 xml:space="preserve"> 住房公积金</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118.85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143.22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120.5</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粮食部门转隶，人员增加。</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粮油物资储备支出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粮油物资事务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其他粮油物资事务支出</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4.88</w:t>
      </w:r>
      <w:r>
        <w:rPr>
          <w:rFonts w:hint="eastAsia" w:ascii="Times New Roman" w:hAnsi="Times New Roman" w:eastAsia="仿宋_GB2312"/>
          <w:sz w:val="32"/>
          <w:szCs w:val="32"/>
        </w:rPr>
        <w:t>万元，由于预算数为0，无法计算百分比，决算数大于年初预算数的主要原因是：</w:t>
      </w:r>
      <w:r>
        <w:rPr>
          <w:rFonts w:hint="eastAsia" w:ascii="Times New Roman" w:hAnsi="Times New Roman" w:eastAsia="仿宋_GB2312"/>
          <w:sz w:val="32"/>
          <w:szCs w:val="32"/>
          <w:lang w:eastAsia="zh-CN"/>
        </w:rPr>
        <w:t>该费用为</w:t>
      </w:r>
      <w:r>
        <w:rPr>
          <w:rFonts w:hint="eastAsia" w:ascii="Times New Roman" w:hAnsi="Times New Roman" w:eastAsia="仿宋_GB2312"/>
          <w:sz w:val="32"/>
          <w:szCs w:val="32"/>
          <w:lang w:val="en-US" w:eastAsia="zh-CN"/>
        </w:rPr>
        <w:t>商品粮大省奖励资金。</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2926.57</w:t>
      </w:r>
      <w:r>
        <w:rPr>
          <w:rFonts w:hint="eastAsia" w:ascii="仿宋_GB2312" w:hAnsi="仿宋_GB2312" w:eastAsia="仿宋_GB2312" w:cs="仿宋_GB2312"/>
          <w:sz w:val="32"/>
          <w:szCs w:val="32"/>
        </w:rPr>
        <w:t>万元，其中：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2543.95</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86.93</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sz w:val="32"/>
          <w:szCs w:val="32"/>
          <w:lang w:eastAsia="zh-CN"/>
        </w:rPr>
        <w:t>、绩效工资、</w:t>
      </w:r>
      <w:r>
        <w:rPr>
          <w:rFonts w:hint="eastAsia" w:ascii="Times New Roman" w:hAnsi="Times New Roman" w:eastAsia="仿宋_GB2312"/>
          <w:sz w:val="32"/>
          <w:szCs w:val="32"/>
          <w:lang w:eastAsia="zh-CN"/>
        </w:rPr>
        <w:t>机关事业单位基本养老保险缴费、职工基本医疗保险缴费、其他社会保障缴费；对个人和家庭的补助，其中包括退休费、抚恤金、生活补助、医疗费补助、奖励金、其他对个人和家庭的补助。</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382.62</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13.07</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rPr>
        <w:t>办公费、印刷费、</w:t>
      </w:r>
      <w:r>
        <w:rPr>
          <w:rFonts w:hint="eastAsia" w:ascii="Times New Roman" w:hAnsi="Times New Roman" w:eastAsia="仿宋_GB2312"/>
          <w:sz w:val="32"/>
          <w:szCs w:val="32"/>
          <w:highlight w:val="none"/>
          <w:lang w:eastAsia="zh-CN"/>
        </w:rPr>
        <w:t>水费、电费、邮电费、物业管理费、差旅费、维修（护）费、租赁费、会议费、培训费、公务接待费、专用材料费、劳务费、委托业务费、工会经费、福利费、公务车运行维护费、其他交通费用、其他商品和服务支出</w:t>
      </w:r>
      <w:r>
        <w:rPr>
          <w:rFonts w:hint="eastAsia" w:ascii="Times New Roman" w:hAnsi="Times New Roman" w:eastAsia="仿宋_GB2312"/>
          <w:sz w:val="32"/>
          <w:szCs w:val="32"/>
          <w:highlight w:val="none"/>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color w:val="000000"/>
          <w:kern w:val="0"/>
          <w:sz w:val="32"/>
          <w:szCs w:val="32"/>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b/>
          <w:bCs/>
          <w:i w:val="0"/>
          <w:iCs/>
          <w:color w:val="FF0000"/>
          <w:kern w:val="0"/>
          <w:sz w:val="36"/>
          <w:szCs w:val="36"/>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2023年度政府性基金预算财政拨款收入0万元；年初结转和结余0万元；支出0万元，其中基本支出0万元，项目支出0万元；年末结转和结余0万元。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2023年度国有资本经营预算财政拨款收入0万元；年初结转和结余0万；支出0万元，其中：基本支出0万元，项目支出0万元；年末结转和结余0万元。</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7.98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7.98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预算数的主要原因是</w:t>
      </w:r>
      <w:r>
        <w:rPr>
          <w:rFonts w:hint="eastAsia" w:ascii="仿宋_GB2312" w:hAnsi="仿宋_GB2312" w:eastAsia="仿宋_GB2312" w:cs="仿宋_GB2312"/>
          <w:sz w:val="32"/>
          <w:szCs w:val="32"/>
          <w:lang w:eastAsia="zh-CN"/>
        </w:rPr>
        <w:t>按要求支付费用，</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17.09</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68.17</w:t>
      </w:r>
      <w:r>
        <w:rPr>
          <w:rFonts w:hint="eastAsia" w:ascii="仿宋_GB2312" w:hAnsi="仿宋_GB2312" w:eastAsia="仿宋_GB2312" w:cs="仿宋_GB2312"/>
          <w:sz w:val="32"/>
          <w:szCs w:val="32"/>
        </w:rPr>
        <w:t>%,减少的主要原因是</w:t>
      </w:r>
      <w:r>
        <w:rPr>
          <w:rFonts w:hint="eastAsia" w:ascii="Times New Roman" w:hAnsi="Times New Roman" w:eastAsia="仿宋_GB2312"/>
          <w:color w:val="000000"/>
          <w:sz w:val="32"/>
          <w:szCs w:val="32"/>
        </w:rPr>
        <w:t>我委根据中央和省市有关厉行节约文件精神，严控各项支出，公务接待坚持经费控制、节约简朴原则，最大限度控制和压缩</w:t>
      </w:r>
      <w:r>
        <w:rPr>
          <w:rFonts w:hint="default" w:ascii="Times New Roman" w:hAnsi="Times New Roman" w:eastAsia="仿宋_GB2312"/>
          <w:color w:val="000000"/>
          <w:sz w:val="32"/>
          <w:szCs w:val="32"/>
        </w:rPr>
        <w:t>“</w:t>
      </w:r>
      <w:r>
        <w:rPr>
          <w:rFonts w:hint="eastAsia" w:ascii="Times New Roman" w:hAnsi="Times New Roman" w:eastAsia="仿宋_GB2312"/>
          <w:color w:val="000000"/>
          <w:sz w:val="32"/>
          <w:szCs w:val="32"/>
        </w:rPr>
        <w:t>三公</w:t>
      </w:r>
      <w:r>
        <w:rPr>
          <w:rFonts w:hint="default" w:ascii="Times New Roman" w:hAnsi="Times New Roman" w:eastAsia="仿宋_GB2312"/>
          <w:color w:val="000000"/>
          <w:sz w:val="32"/>
          <w:szCs w:val="32"/>
        </w:rPr>
        <w:t>”</w:t>
      </w:r>
      <w:r>
        <w:rPr>
          <w:rFonts w:hint="eastAsia" w:ascii="Times New Roman" w:hAnsi="Times New Roman" w:eastAsia="仿宋_GB2312"/>
          <w:color w:val="000000"/>
          <w:sz w:val="32"/>
          <w:szCs w:val="32"/>
        </w:rPr>
        <w:t>经费支出</w:t>
      </w:r>
      <w:r>
        <w:rPr>
          <w:rFonts w:hint="eastAsia" w:ascii="仿宋_GB2312" w:hAnsi="仿宋_GB2312" w:eastAsia="仿宋_GB2312" w:cs="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Times New Roman" w:hAnsi="Times New Roman" w:eastAsia="仿宋_GB2312"/>
          <w:sz w:val="32"/>
          <w:szCs w:val="32"/>
          <w:lang w:eastAsia="zh-CN"/>
        </w:rPr>
        <w:t>我委无因公出国（境）费用支出</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3.64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3.64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预算数的主要原因是</w:t>
      </w:r>
      <w:r>
        <w:rPr>
          <w:rFonts w:hint="eastAsia" w:ascii="仿宋_GB2312" w:hAnsi="仿宋_GB2312" w:eastAsia="仿宋_GB2312" w:cs="仿宋_GB2312"/>
          <w:sz w:val="32"/>
          <w:szCs w:val="32"/>
          <w:lang w:eastAsia="zh-CN"/>
        </w:rPr>
        <w:t>严格控制公务接待费用支出</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0.33</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8.31</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控制公务接待费支出</w:t>
      </w:r>
      <w:r>
        <w:rPr>
          <w:rFonts w:hint="eastAsia" w:ascii="仿宋_GB2312" w:hAnsi="仿宋_GB2312" w:eastAsia="仿宋_GB2312" w:cs="仿宋_GB2312"/>
          <w:sz w:val="32"/>
          <w:szCs w:val="32"/>
        </w:rPr>
        <w:t>。</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公务用车购置费0万元，当年没有购置公务用车。</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4.34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4.34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预算数的主要原因是</w:t>
      </w:r>
      <w:r>
        <w:rPr>
          <w:rFonts w:hint="eastAsia" w:ascii="仿宋_GB2312" w:hAnsi="仿宋_GB2312" w:eastAsia="仿宋_GB2312" w:cs="仿宋_GB2312"/>
          <w:sz w:val="32"/>
          <w:szCs w:val="32"/>
          <w:lang w:eastAsia="zh-CN"/>
        </w:rPr>
        <w:t>严格按预算执行</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16.76</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79.43</w:t>
      </w:r>
      <w:r>
        <w:rPr>
          <w:rFonts w:hint="eastAsia" w:ascii="仿宋_GB2312" w:hAnsi="仿宋_GB2312" w:eastAsia="仿宋_GB2312" w:cs="仿宋_GB2312"/>
          <w:sz w:val="32"/>
          <w:szCs w:val="32"/>
        </w:rPr>
        <w:t>%,减少的主要原因是</w:t>
      </w:r>
      <w:r>
        <w:rPr>
          <w:rFonts w:hint="eastAsia" w:ascii="Times New Roman" w:hAnsi="Times New Roman" w:eastAsia="仿宋_GB2312"/>
          <w:color w:val="000000"/>
          <w:sz w:val="32"/>
          <w:szCs w:val="32"/>
        </w:rPr>
        <w:t>严控各项支出</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3.64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45.61</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4.34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54.39</w:t>
      </w:r>
      <w:r>
        <w:rPr>
          <w:rFonts w:hint="eastAsia" w:ascii="仿宋_GB2312" w:hAnsi="仿宋_GB2312" w:eastAsia="仿宋_GB2312" w:cs="仿宋_GB2312"/>
          <w:sz w:val="32"/>
          <w:szCs w:val="32"/>
        </w:rPr>
        <w:t>%。其中：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auto"/>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000000"/>
          <w:kern w:val="0"/>
          <w:sz w:val="32"/>
          <w:szCs w:val="32"/>
          <w:lang w:val="en-US" w:eastAsia="zh-CN" w:bidi="ar-SA"/>
        </w:rPr>
        <w:t>因公出国（境）费支出预算为0万元，支出决算为0万元，决算数等于预算数，主要原因是我单位严格按预算执行决算；与上年一致，无增减变动，主要原因是未安排因公出国（境）活动。</w:t>
      </w:r>
    </w:p>
    <w:p>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3.64</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195</w:t>
      </w:r>
      <w:r>
        <w:rPr>
          <w:rFonts w:hint="eastAsia" w:ascii="仿宋_GB2312" w:hAnsi="仿宋_GB2312" w:eastAsia="仿宋_GB2312" w:cs="仿宋_GB2312"/>
          <w:sz w:val="32"/>
          <w:szCs w:val="32"/>
        </w:rPr>
        <w:t>人次，主要是</w:t>
      </w:r>
      <w:r>
        <w:rPr>
          <w:rFonts w:hint="eastAsia" w:ascii="仿宋_GB2312" w:hAnsi="仿宋_GB2312" w:eastAsia="仿宋_GB2312" w:cs="仿宋_GB2312"/>
          <w:sz w:val="32"/>
          <w:szCs w:val="32"/>
          <w:lang w:eastAsia="zh-CN"/>
        </w:rPr>
        <w:t>国家、</w:t>
      </w:r>
      <w:r>
        <w:rPr>
          <w:rFonts w:hint="eastAsia" w:ascii="Times New Roman" w:hAnsi="Times New Roman" w:eastAsia="仿宋_GB2312"/>
          <w:sz w:val="32"/>
          <w:szCs w:val="32"/>
          <w:lang w:eastAsia="zh-CN"/>
        </w:rPr>
        <w:t>省委省政府及相关部门赴岳调研督导检查</w:t>
      </w:r>
      <w:r>
        <w:rPr>
          <w:rFonts w:hint="eastAsia" w:ascii="Times New Roman" w:hAnsi="Times New Roman" w:eastAsia="仿宋_GB2312"/>
          <w:sz w:val="32"/>
          <w:szCs w:val="32"/>
        </w:rPr>
        <w:t>发生的接待支出。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黑体"/>
          <w:color w:val="000000"/>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4.34</w:t>
      </w:r>
      <w:r>
        <w:rPr>
          <w:rFonts w:hint="eastAsia" w:ascii="仿宋_GB2312" w:hAnsi="仿宋_GB2312" w:eastAsia="仿宋_GB2312" w:cs="仿宋_GB2312"/>
          <w:sz w:val="32"/>
          <w:szCs w:val="32"/>
        </w:rPr>
        <w:t>万元，其中：</w:t>
      </w:r>
      <w:r>
        <w:rPr>
          <w:rFonts w:hint="eastAsia" w:ascii="Times New Roman" w:hAnsi="Times New Roman" w:eastAsia="仿宋_GB2312" w:cs="黑体"/>
          <w:color w:val="000000"/>
          <w:kern w:val="0"/>
          <w:sz w:val="32"/>
          <w:szCs w:val="32"/>
          <w:lang w:val="en-US" w:eastAsia="zh-CN" w:bidi="ar-SA"/>
        </w:rPr>
        <w:t xml:space="preserve">公务用车购置费支出预算为0万元，支出决算为0万元，决算数等于预算数，主要原因是我单位严格按预算执行决算；与上年一致，无增减变动，主要原因是两年均未购置公务用车。  </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黑体" w:hAnsi="黑体" w:eastAsia="黑体" w:cs="黑体"/>
          <w:b w:val="0"/>
          <w:bCs/>
          <w:sz w:val="32"/>
          <w:szCs w:val="32"/>
        </w:rPr>
      </w:pP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4.34</w:t>
      </w:r>
      <w:r>
        <w:rPr>
          <w:rFonts w:hint="eastAsia" w:ascii="仿宋_GB2312" w:hAnsi="仿宋_GB2312" w:eastAsia="仿宋_GB2312" w:cs="仿宋_GB2312"/>
          <w:sz w:val="32"/>
          <w:szCs w:val="32"/>
        </w:rPr>
        <w:t>万元，主要</w:t>
      </w:r>
      <w:r>
        <w:rPr>
          <w:rFonts w:hint="eastAsia" w:ascii="Times New Roman" w:hAnsi="Times New Roman" w:eastAsia="仿宋_GB2312"/>
          <w:sz w:val="32"/>
          <w:szCs w:val="32"/>
          <w:lang w:eastAsia="zh-CN"/>
        </w:rPr>
        <w:t>洗车费</w:t>
      </w:r>
      <w:r>
        <w:rPr>
          <w:rFonts w:hint="eastAsia" w:ascii="Times New Roman" w:hAnsi="Times New Roman" w:eastAsia="仿宋_GB2312"/>
          <w:sz w:val="32"/>
          <w:szCs w:val="32"/>
          <w:lang w:val="en-US" w:eastAsia="zh-CN"/>
        </w:rPr>
        <w:t>、ETC费用、维修维护费（车辆保险、油料费）</w:t>
      </w:r>
      <w:r>
        <w:rPr>
          <w:rFonts w:hint="eastAsia" w:ascii="Times New Roman" w:hAnsi="Times New Roman" w:eastAsia="仿宋_GB2312"/>
          <w:sz w:val="32"/>
          <w:szCs w:val="32"/>
        </w:rPr>
        <w:t>支出</w:t>
      </w:r>
      <w:r>
        <w:rPr>
          <w:rFonts w:hint="eastAsia" w:ascii="仿宋_GB2312" w:hAnsi="仿宋_GB2312" w:eastAsia="仿宋_GB2312" w:cs="仿宋_GB2312"/>
          <w:sz w:val="32"/>
          <w:szCs w:val="32"/>
        </w:rPr>
        <w:t>，截止202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辆。</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pPr>
        <w:pStyle w:val="12"/>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382.62</w:t>
      </w:r>
      <w:r>
        <w:rPr>
          <w:rFonts w:hint="eastAsia" w:ascii="仿宋_GB2312" w:hAnsi="仿宋_GB2312" w:eastAsia="仿宋_GB2312" w:cs="仿宋_GB2312"/>
          <w:sz w:val="32"/>
          <w:szCs w:val="32"/>
        </w:rPr>
        <w:t>万元，比年初预算数增加</w:t>
      </w:r>
      <w:r>
        <w:rPr>
          <w:rFonts w:hint="eastAsia" w:ascii="仿宋_GB2312" w:hAnsi="仿宋_GB2312" w:eastAsia="仿宋_GB2312" w:cs="仿宋_GB2312"/>
          <w:sz w:val="32"/>
          <w:szCs w:val="32"/>
          <w:lang w:val="en-US" w:eastAsia="zh-CN"/>
        </w:rPr>
        <w:t>116.09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43.56</w:t>
      </w:r>
      <w:r>
        <w:rPr>
          <w:rFonts w:hint="eastAsia" w:ascii="仿宋_GB2312" w:hAnsi="仿宋_GB2312" w:eastAsia="仿宋_GB2312" w:cs="仿宋_GB2312"/>
          <w:sz w:val="32"/>
          <w:szCs w:val="32"/>
        </w:rPr>
        <w:t>%。主要原因是：</w:t>
      </w:r>
      <w:r>
        <w:rPr>
          <w:rFonts w:hint="eastAsia" w:ascii="Times New Roman" w:hAnsi="Times New Roman" w:eastAsia="仿宋_GB2312"/>
          <w:b w:val="0"/>
          <w:bCs w:val="0"/>
          <w:color w:val="000000" w:themeColor="text1"/>
          <w:sz w:val="32"/>
          <w:szCs w:val="32"/>
          <w:lang w:eastAsia="zh-CN"/>
          <w14:textFill>
            <w14:solidFill>
              <w14:schemeClr w14:val="tx1"/>
            </w14:solidFill>
          </w14:textFill>
        </w:rPr>
        <w:t>由于机构改革岳阳市粮食部门归入我委且</w:t>
      </w:r>
      <w:r>
        <w:rPr>
          <w:rFonts w:hint="eastAsia" w:ascii="Times New Roman" w:hAnsi="Times New Roman" w:eastAsia="仿宋_GB2312"/>
          <w:b w:val="0"/>
          <w:bCs w:val="0"/>
          <w:color w:val="000000" w:themeColor="text1"/>
          <w:sz w:val="32"/>
          <w:szCs w:val="32"/>
          <w:lang w:val="en-US" w:eastAsia="zh-CN"/>
          <w14:textFill>
            <w14:solidFill>
              <w14:schemeClr w14:val="tx1"/>
            </w14:solidFill>
          </w14:textFill>
        </w:rPr>
        <w:t>新增了四海揽才人员，故经费增加</w:t>
      </w:r>
      <w:r>
        <w:rPr>
          <w:rFonts w:hint="eastAsia" w:ascii="楷体" w:hAnsi="楷体" w:eastAsia="楷体" w:cs="楷体"/>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2"/>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年度，会议费年初预算2万元，支出决算为2.06万元，完成年初预算的103%。用于召开协调工作、“五好”园区推进等会议，</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163</w:t>
      </w:r>
      <w:r>
        <w:rPr>
          <w:rFonts w:hint="eastAsia" w:ascii="仿宋_GB2312" w:hAnsi="仿宋_GB2312" w:eastAsia="仿宋_GB2312" w:cs="仿宋_GB2312"/>
          <w:sz w:val="32"/>
          <w:szCs w:val="32"/>
        </w:rPr>
        <w:t>人，内容为</w:t>
      </w:r>
      <w:r>
        <w:rPr>
          <w:rFonts w:hint="eastAsia" w:ascii="Times New Roman" w:hAnsi="Times New Roman" w:eastAsia="仿宋_GB2312"/>
          <w:sz w:val="32"/>
          <w:szCs w:val="32"/>
          <w:lang w:eastAsia="zh-CN"/>
        </w:rPr>
        <w:t>各线调研会议，项目问题会议等</w:t>
      </w:r>
      <w:r>
        <w:rPr>
          <w:rFonts w:hint="eastAsia" w:ascii="仿宋_GB2312" w:hAnsi="仿宋_GB2312" w:eastAsia="仿宋_GB2312" w:cs="仿宋_GB2312"/>
          <w:sz w:val="32"/>
          <w:szCs w:val="32"/>
          <w:lang w:eastAsia="zh-CN"/>
        </w:rPr>
        <w:t>。</w:t>
      </w:r>
    </w:p>
    <w:p>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培训费年初预算1万元，支出决算为1万元，完成年初预算的100%。用于开展各类培训培训，人数53人，内容为</w:t>
      </w:r>
      <w:r>
        <w:rPr>
          <w:rFonts w:hint="eastAsia" w:ascii="Times New Roman" w:hAnsi="Times New Roman" w:eastAsia="仿宋_GB2312"/>
          <w:sz w:val="32"/>
          <w:szCs w:val="32"/>
          <w:lang w:eastAsia="zh-CN"/>
        </w:rPr>
        <w:t>根据市委组织部安排的党校培训，自行组织的相关业务培训</w:t>
      </w:r>
      <w:r>
        <w:rPr>
          <w:rFonts w:hint="eastAsia" w:ascii="仿宋_GB2312" w:hAnsi="仿宋_GB2312" w:eastAsia="仿宋_GB2312" w:cs="仿宋_GB2312"/>
          <w:color w:val="000000"/>
          <w:kern w:val="0"/>
          <w:sz w:val="32"/>
          <w:szCs w:val="32"/>
          <w:lang w:val="en-US" w:eastAsia="zh-CN" w:bidi="ar-SA"/>
        </w:rPr>
        <w:t>。</w:t>
      </w:r>
    </w:p>
    <w:p>
      <w:pPr>
        <w:widowControl w:val="0"/>
        <w:autoSpaceDE w:val="0"/>
        <w:autoSpaceDN w:val="0"/>
        <w:adjustRightInd w:val="0"/>
        <w:ind w:firstLine="640" w:firstLineChars="200"/>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举办节庆、晚会、论坛、赛事活动年初预算0万元，支出决算为0万元，本单位无举办节庆、晚会、论坛、赛事等活动的预算和支出决算数。</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740.41</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159.51</w:t>
      </w:r>
      <w:r>
        <w:rPr>
          <w:rFonts w:hint="eastAsia" w:ascii="仿宋_GB2312" w:hAnsi="仿宋_GB2312" w:eastAsia="仿宋_GB2312" w:cs="仿宋_GB2312"/>
          <w:sz w:val="32"/>
          <w:szCs w:val="32"/>
        </w:rPr>
        <w:t xml:space="preserve"> 万元、政府采购工程支出</w:t>
      </w:r>
      <w:r>
        <w:rPr>
          <w:rFonts w:hint="eastAsia" w:ascii="仿宋_GB2312" w:hAnsi="仿宋_GB2312" w:eastAsia="仿宋_GB2312" w:cs="仿宋_GB2312"/>
          <w:sz w:val="32"/>
          <w:szCs w:val="32"/>
          <w:lang w:val="en-US" w:eastAsia="zh-CN"/>
        </w:rPr>
        <w:t>2.31</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578.59</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740.41</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740.41</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3679.2万元，政府性基金预算支出0万元，国有资本经营预算支出0万元。从评价情况来看，整体支出绩效评价中，2023年整体支出3831.83万元，其中：基本支出3071.43万元，项目支出760.4万元，本单位整体支出绩效自评综合评分10分，评价结果等次为优。</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10个，共涉及资金760.4万元，占一般公共预算项目支出总额的100%。组织对政府性基金预算项目支出开展绩效自评，项目0个，共涉及资金0万元，占政府性基金预算项目支出总额的0%。组织对国有资本经营预算项目支出开展绩效自评，项目0个，共涉及资金0万元，占国有资本经营预算项目支出总额的0%。从评价情况来看，项目绩效自评得分10分，评价结果等次为优</w:t>
      </w:r>
      <w:bookmarkStart w:id="0" w:name="_GoBack"/>
      <w:bookmarkEnd w:id="0"/>
      <w:r>
        <w:rPr>
          <w:rFonts w:hint="eastAsia" w:ascii="仿宋_GB2312" w:hAnsi="仿宋_GB2312" w:eastAsia="仿宋_GB2312" w:cs="仿宋_GB2312"/>
          <w:b w:val="0"/>
          <w:bCs w:val="0"/>
          <w:color w:val="000000"/>
          <w:kern w:val="0"/>
          <w:sz w:val="32"/>
          <w:szCs w:val="32"/>
          <w:lang w:val="en-US" w:eastAsia="zh-CN" w:bidi="ar-SA"/>
        </w:rPr>
        <w:t>。</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olor w:val="FF0000"/>
          <w:sz w:val="32"/>
          <w:szCs w:val="32"/>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10分。全年预算数为3831.83万元，执行数为3831.83万元，完成预算的100%。绩效目标完成情况：一是开展成本监审工作的数量超过20个，开展重点项目超过300个；二是高质量完成各项项目，为政府提供有效决策。三是按时完成各项项目目标；四是节约资金未超出项目预算；五是社会效益、经济效益、生态效益指标平稳发展，无负面影响；六是服务对象满意度有所提升。</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仿宋_GB2312" w:hAnsi="仿宋_GB2312" w:eastAsia="仿宋_GB2312" w:cs="仿宋_GB2312"/>
          <w:color w:val="auto"/>
          <w:sz w:val="32"/>
          <w:szCs w:val="32"/>
          <w:lang w:eastAsia="zh-CN"/>
        </w:rPr>
        <w:t>存在的</w:t>
      </w:r>
      <w:r>
        <w:rPr>
          <w:rFonts w:hint="eastAsia" w:ascii="仿宋_GB2312" w:hAnsi="仿宋_GB2312" w:eastAsia="仿宋_GB2312" w:cs="仿宋_GB2312"/>
          <w:b w:val="0"/>
          <w:bCs w:val="0"/>
          <w:color w:val="000000"/>
          <w:kern w:val="0"/>
          <w:sz w:val="32"/>
          <w:szCs w:val="32"/>
          <w:lang w:val="en-US" w:eastAsia="zh-CN" w:bidi="ar-SA"/>
        </w:rPr>
        <w:t>主要问题及原因：</w:t>
      </w:r>
      <w:r>
        <w:rPr>
          <w:rFonts w:hint="eastAsia" w:ascii="Times New Roman" w:hAnsi="Times New Roman" w:eastAsia="仿宋_GB2312"/>
          <w:sz w:val="32"/>
          <w:szCs w:val="32"/>
        </w:rPr>
        <w:t>一是预算编制有待严格执行。预算编制与实际支出项目有一定差距。二是预算拨付资金滞后。有的项目资金和公用经费都是在年末才拨付到位，以至年终资金结存较大。</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SA"/>
        </w:rPr>
        <w:t>下一步改进措施：一是加强部门工作对接；二是严格按预算编制执行。</w:t>
      </w:r>
    </w:p>
    <w:p>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pPr>
        <w:pStyle w:val="12"/>
        <w:jc w:val="both"/>
        <w:rPr>
          <w:sz w:val="72"/>
          <w:szCs w:val="72"/>
        </w:rPr>
      </w:pPr>
    </w:p>
    <w:p>
      <w:pPr>
        <w:pStyle w:val="12"/>
        <w:jc w:val="center"/>
        <w:rPr>
          <w:sz w:val="72"/>
          <w:szCs w:val="72"/>
        </w:rPr>
      </w:pPr>
    </w:p>
    <w:p>
      <w:pPr>
        <w:pStyle w:val="12"/>
        <w:jc w:val="center"/>
        <w:rPr>
          <w:rFonts w:hint="eastAsia" w:ascii="方正小标宋_GBK" w:hAnsi="方正小标宋_GBK" w:eastAsia="方正小标宋_GBK" w:cs="方正小标宋_GBK"/>
          <w:sz w:val="70"/>
          <w:szCs w:val="70"/>
          <w:lang w:eastAsia="zh-CN"/>
        </w:rPr>
      </w:pPr>
    </w:p>
    <w:p>
      <w:pPr>
        <w:pStyle w:val="12"/>
        <w:jc w:val="center"/>
        <w:rPr>
          <w:rFonts w:hint="eastAsia" w:ascii="方正小标宋_GBK" w:hAnsi="方正小标宋_GBK" w:eastAsia="方正小标宋_GBK" w:cs="方正小标宋_GBK"/>
          <w:sz w:val="70"/>
          <w:szCs w:val="70"/>
          <w:lang w:eastAsia="zh-CN"/>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2"/>
      </w:pPr>
    </w:p>
    <w:p>
      <w:pPr>
        <w:pStyle w:val="3"/>
      </w:pPr>
    </w:p>
    <w:p/>
    <w:p>
      <w:pPr>
        <w:pStyle w:val="2"/>
      </w:pPr>
    </w:p>
    <w:p>
      <w:pPr>
        <w:pStyle w:val="3"/>
      </w:pPr>
    </w:p>
    <w:p>
      <w:pPr>
        <w:pStyle w:val="3"/>
        <w:ind w:left="0" w:leftChars="0" w:firstLine="0" w:firstLineChars="0"/>
      </w:pPr>
    </w:p>
    <w:p/>
    <w:p>
      <w:pPr>
        <w:pStyle w:val="2"/>
      </w:pPr>
    </w:p>
    <w:p>
      <w:pPr>
        <w:pStyle w:val="3"/>
      </w:pPr>
    </w:p>
    <w:p>
      <w:pPr>
        <w:pStyle w:val="3"/>
      </w:pPr>
    </w:p>
    <w:p/>
    <w:p>
      <w:pPr>
        <w:pStyle w:val="2"/>
      </w:pP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p>
    <w:p>
      <w:pPr>
        <w:pStyle w:val="12"/>
        <w:jc w:val="center"/>
        <w:rPr>
          <w:rFonts w:hint="eastAsia" w:ascii="仿宋_GB2312" w:hAnsi="仿宋_GB2312" w:eastAsia="仿宋_GB2312" w:cs="仿宋_GB2312"/>
          <w:sz w:val="32"/>
          <w:szCs w:val="32"/>
        </w:rPr>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2"/>
        <w:jc w:val="both"/>
        <w:rPr>
          <w:rFonts w:hint="eastAsia" w:ascii="方正小标宋_GBK" w:hAnsi="方正小标宋_GBK" w:eastAsia="方正小标宋_GBK" w:cs="方正小标宋_GBK"/>
          <w:sz w:val="70"/>
          <w:szCs w:val="70"/>
          <w:lang w:eastAsia="zh-CN"/>
        </w:rPr>
      </w:pPr>
    </w:p>
    <w:p>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9A185F"/>
    <w:multiLevelType w:val="singleLevel"/>
    <w:tmpl w:val="B09A185F"/>
    <w:lvl w:ilvl="0" w:tentative="0">
      <w:start w:val="2"/>
      <w:numFmt w:val="chineseCounting"/>
      <w:suff w:val="nothing"/>
      <w:lvlText w:val="%1、"/>
      <w:lvlJc w:val="left"/>
      <w:rPr>
        <w:rFonts w:hint="eastAsia"/>
      </w:rPr>
    </w:lvl>
  </w:abstractNum>
  <w:abstractNum w:abstractNumId="1">
    <w:nsid w:val="E41B8427"/>
    <w:multiLevelType w:val="singleLevel"/>
    <w:tmpl w:val="E41B8427"/>
    <w:lvl w:ilvl="0" w:tentative="0">
      <w:start w:val="2"/>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54768"/>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395B24"/>
    <w:rsid w:val="059958AD"/>
    <w:rsid w:val="06C857E7"/>
    <w:rsid w:val="08C24A73"/>
    <w:rsid w:val="0C330AF2"/>
    <w:rsid w:val="12583BA5"/>
    <w:rsid w:val="13BA5B9C"/>
    <w:rsid w:val="13DB6EFD"/>
    <w:rsid w:val="195C20E3"/>
    <w:rsid w:val="1A961EAB"/>
    <w:rsid w:val="1D97DEFF"/>
    <w:rsid w:val="1DFF72E5"/>
    <w:rsid w:val="1EFC6F07"/>
    <w:rsid w:val="1F0527A6"/>
    <w:rsid w:val="22AC03C2"/>
    <w:rsid w:val="22CD0827"/>
    <w:rsid w:val="270802B8"/>
    <w:rsid w:val="2C9E62E5"/>
    <w:rsid w:val="2FDF85B8"/>
    <w:rsid w:val="2FFFEE04"/>
    <w:rsid w:val="31C95635"/>
    <w:rsid w:val="34DF85B0"/>
    <w:rsid w:val="387A56B5"/>
    <w:rsid w:val="3B8F36BC"/>
    <w:rsid w:val="491FF225"/>
    <w:rsid w:val="4DFA753E"/>
    <w:rsid w:val="4FFD214C"/>
    <w:rsid w:val="506E5C81"/>
    <w:rsid w:val="5352765A"/>
    <w:rsid w:val="5777D4F5"/>
    <w:rsid w:val="59DD8326"/>
    <w:rsid w:val="5C402BE9"/>
    <w:rsid w:val="5D716B2E"/>
    <w:rsid w:val="5DEF592A"/>
    <w:rsid w:val="5FC6BB1E"/>
    <w:rsid w:val="5FF720F1"/>
    <w:rsid w:val="67FF5C0B"/>
    <w:rsid w:val="6A0B2D54"/>
    <w:rsid w:val="6BAA4A2F"/>
    <w:rsid w:val="6DAB1904"/>
    <w:rsid w:val="6EFC0924"/>
    <w:rsid w:val="6FB74722"/>
    <w:rsid w:val="6FEB37AA"/>
    <w:rsid w:val="6FEF8B7E"/>
    <w:rsid w:val="71A6591B"/>
    <w:rsid w:val="72DA3698"/>
    <w:rsid w:val="73706928"/>
    <w:rsid w:val="737D59BA"/>
    <w:rsid w:val="737F32B1"/>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29</TotalTime>
  <ScaleCrop>false</ScaleCrop>
  <LinksUpToDate>false</LinksUpToDate>
  <CharactersWithSpaces>9008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2024-09-27T02:43:17Z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98623D6660B449428EB8E073C6C952EA</vt:lpwstr>
  </property>
</Properties>
</file>