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84"/>
          <w:szCs w:val="84"/>
        </w:rPr>
      </w:pPr>
    </w:p>
    <w:p>
      <w:pPr>
        <w:pStyle w:val="13"/>
        <w:jc w:val="center"/>
        <w:rPr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202</w:t>
      </w: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年度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岳阳职业技术学院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部门决算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56"/>
          <w:szCs w:val="56"/>
        </w:rPr>
      </w:pPr>
    </w:p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32"/>
          <w:szCs w:val="32"/>
        </w:rPr>
      </w:pPr>
    </w:p>
    <w:p>
      <w:pPr>
        <w:pStyle w:val="13"/>
        <w:jc w:val="center"/>
        <w:rPr>
          <w:sz w:val="32"/>
          <w:szCs w:val="32"/>
        </w:rPr>
      </w:pPr>
    </w:p>
    <w:p>
      <w:pPr>
        <w:pStyle w:val="13"/>
        <w:jc w:val="center"/>
        <w:rPr>
          <w:sz w:val="32"/>
          <w:szCs w:val="32"/>
        </w:rPr>
      </w:pPr>
    </w:p>
    <w:p>
      <w:pPr>
        <w:pStyle w:val="13"/>
        <w:jc w:val="center"/>
        <w:rPr>
          <w:sz w:val="32"/>
          <w:szCs w:val="32"/>
        </w:rPr>
      </w:pPr>
    </w:p>
    <w:p>
      <w:pPr>
        <w:pStyle w:val="13"/>
        <w:jc w:val="center"/>
        <w:rPr>
          <w:sz w:val="32"/>
          <w:szCs w:val="32"/>
        </w:rPr>
      </w:pPr>
    </w:p>
    <w:p>
      <w:pPr>
        <w:pStyle w:val="13"/>
        <w:spacing w:line="540" w:lineRule="exact"/>
        <w:jc w:val="center"/>
        <w:rPr>
          <w:sz w:val="56"/>
          <w:szCs w:val="56"/>
        </w:rPr>
      </w:pPr>
    </w:p>
    <w:p>
      <w:pPr>
        <w:pStyle w:val="13"/>
        <w:spacing w:line="500" w:lineRule="exact"/>
        <w:jc w:val="both"/>
        <w:rPr>
          <w:b/>
          <w:sz w:val="36"/>
          <w:szCs w:val="28"/>
        </w:rPr>
      </w:pPr>
    </w:p>
    <w:p>
      <w:pPr>
        <w:pStyle w:val="13"/>
        <w:spacing w:line="50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第一部分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  <w:t>岳阳职业技术学院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部门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概况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一、部门职责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二、机构设置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及决算单位构成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第二部分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三、支出决算表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四、财政拨款收入支出决算总表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五、一般公共预算财政拨款支出决算表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六、一般公共预算财政拨款基本支出决算明细表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七、政府性基金预算财政拨款收入支出决算表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八、国有资本经营预算财政拨款支出决算表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九、财政拨款“三公”经费支出决算表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第三部分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部门决算情况说明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一、收入支出决算总体情况说明</w:t>
      </w:r>
    </w:p>
    <w:p>
      <w:pPr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七、政府性基金预算收入支出决算情况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八、</w:t>
      </w:r>
      <w:r>
        <w:rPr>
          <w:rFonts w:hint="eastAsia" w:ascii="仿宋_GB2312" w:hAnsi="仿宋_GB2312" w:eastAsia="仿宋_GB2312" w:cs="仿宋_GB2312"/>
          <w:sz w:val="28"/>
          <w:szCs w:val="28"/>
        </w:rPr>
        <w:t>国有资本经营预算财政拨款支出决算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九、财政拨款三公经费支出决算情况说明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十、关于机关运行经费支出说明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十一、一般性支出情况说明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十二、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关于政府采购支出说明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十三、关于国有资产占用情况说明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关于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28"/>
          <w:szCs w:val="28"/>
        </w:rPr>
        <w:t>绩效情况的说明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第四部分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名词解释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附件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 xml:space="preserve">第一部分 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  <w:t>岳阳职业技术学院部门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概况</w:t>
      </w:r>
    </w:p>
    <w:p>
      <w:pPr>
        <w:pStyle w:val="7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pStyle w:val="14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部门职责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负责培养高素质应用型技术人才；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（二）负责毕业生就业指导工作；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）负责教师队伍建设，积极开展科学研究；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）负责师生的在校安全保卫及后勤服务；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）完成市委、市政府交办的其他工作。</w:t>
      </w: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二、机构设置及决算单位构成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（一）内设机构设置。岳阳职业技术学院内设机构包括：17个职能处室、9个教学机构、4个教辅机构。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1、职能处室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党政办公室、组织人事处、宣传统战部、教务处、学生工作部、计划财务处、纪检监察审计处、后勤基建处、招生就业处、保卫处（人武部）、科研处、工会妇联老龄办、团委、规划与发展评建处、教育督导与质量评价处、校企合作处、资产管理处。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2、教学机构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环境生物工程学院、机电工程学院、信息工程学院、护理学院、商贸物流学院、医学院、基础医学部、公共基础课部、国际教育学院。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3、教辅机构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社会培训学院、网络信息中心、图书馆、后勤服务公司。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（二）决算单位构成。岳阳职业技术学院202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年部门决算汇总公开单位构成包括：岳阳职业技术学院本级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不包含下属单位或机构。</w:t>
      </w:r>
    </w:p>
    <w:p/>
    <w:p>
      <w:pPr>
        <w:pStyle w:val="7"/>
      </w:pPr>
    </w:p>
    <w:p>
      <w:pPr>
        <w:pStyle w:val="2"/>
      </w:pPr>
    </w:p>
    <w:p/>
    <w:p>
      <w:pPr>
        <w:pStyle w:val="7"/>
      </w:pPr>
    </w:p>
    <w:p>
      <w:pPr>
        <w:pStyle w:val="2"/>
      </w:pPr>
    </w:p>
    <w:p>
      <w:pPr>
        <w:pStyle w:val="2"/>
        <w:ind w:left="0" w:leftChars="0" w:firstLine="0" w:firstLineChars="0"/>
      </w:pPr>
    </w:p>
    <w:p/>
    <w:p>
      <w:pPr>
        <w:pStyle w:val="7"/>
      </w:pPr>
    </w:p>
    <w:p>
      <w:pPr>
        <w:pStyle w:val="2"/>
      </w:pPr>
    </w:p>
    <w:p/>
    <w:p>
      <w:pPr>
        <w:pStyle w:val="7"/>
      </w:pPr>
    </w:p>
    <w:p>
      <w:pPr>
        <w:pStyle w:val="13"/>
        <w:jc w:val="both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第二部分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部门决算表</w:t>
      </w: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  <w:t>（见附件）</w:t>
      </w: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both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第三部分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</w:rPr>
        <w:t>202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70"/>
          <w:szCs w:val="70"/>
        </w:rPr>
        <w:t>年度部门决算情况说明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both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决算编制时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明细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至“金额单位：元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本套部门决算文字说明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和公开表格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取数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转换为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金额单位：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万元”，可能导致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以下文字说明中的各项数据取数以及公开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中的各项数据取数之间存在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0.01的尾数差异。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2、以下文字说明中，部分科目由于预算数为0，无法计算完成年初预算的百分比，故未描述“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完成年初预算的XX%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一、收入支出决算总体情况说明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/>
          <w:i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36006.06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万元。与上年相比，减少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2910.55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7.48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%，主要是因为一般公共预算财政拨款收入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697.69万元，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政府性基金预算财政拨款收入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较上年减少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</w:rPr>
        <w:t>12000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.00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万元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，事业收入较上年增加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129.52万元，其他收入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较上年增加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41.58万元，年初结转和结余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较上年增加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8220.67万元。收支总计平衡，因此收入总计减少，支出总计也相应减少。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二、收入决算情况说明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27785.40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15992.15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57.55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%；上级补助收入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%；事业收入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11658.28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41.96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%；附属单位上缴收入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134.97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0.49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三、支出决算情况说明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33225.78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万元，其中：基本支出15423.79万元，占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46.42</w:t>
      </w:r>
      <w:r>
        <w:rPr>
          <w:rFonts w:hint="eastAsia" w:ascii="仿宋_GB2312" w:hAnsi="仿宋_GB2312" w:eastAsia="仿宋_GB2312" w:cs="仿宋_GB2312"/>
          <w:sz w:val="32"/>
          <w:szCs w:val="32"/>
        </w:rPr>
        <w:t>%；项目支出17801.99万元，占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53.58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%；上缴上级支出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%；对附属单位补助支出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四、财政拨款收入支出决算总体情况说明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年度财政拨款收、支总计24212.82万元，与上年相比，减少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3081.64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11.29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%，主要是因为一般公共预算财政拨款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697.69万元；去年有一项非经常性的专项债券，而今年没有，政府性基金预算财政拨款较去年减少12000.00万元；去年专项债余额结转，使今年年初财政拨款结转和结余较去年增加了8220.67万元。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五、一般公共预算财政拨款支出决算情况说明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（一）一般公共预算财政拨款支出决算总体情况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i/>
          <w:iCs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年度财政拨款支出15992.15万元，占本年支出合计的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48.13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%，与上年相比，财政拨款支出增加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697.69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4.56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市级生均拨款较去年增加。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（二）一般公共预算财政拨款支出决算结构情况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年度财政拨款支出15992.15万元，主要用于以下方面：一般公共服务（类）支出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0.01</w:t>
      </w:r>
      <w:r>
        <w:rPr>
          <w:rFonts w:hint="eastAsia" w:ascii="仿宋_GB2312" w:hAnsi="仿宋_GB2312" w:eastAsia="仿宋_GB2312" w:cs="仿宋_GB2312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国防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0.31</w:t>
      </w:r>
      <w:r>
        <w:rPr>
          <w:rFonts w:hint="eastAsia" w:ascii="仿宋_GB2312" w:hAnsi="仿宋_GB2312" w:eastAsia="仿宋_GB2312" w:cs="仿宋_GB2312"/>
          <w:sz w:val="32"/>
          <w:szCs w:val="32"/>
        </w:rPr>
        <w:t>%;教育（类）支出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15200.74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95.05</w:t>
      </w:r>
      <w:r>
        <w:rPr>
          <w:rFonts w:hint="eastAsia" w:ascii="仿宋_GB2312" w:hAnsi="仿宋_GB2312" w:eastAsia="仿宋_GB2312" w:cs="仿宋_GB2312"/>
          <w:sz w:val="32"/>
          <w:szCs w:val="32"/>
        </w:rPr>
        <w:t>%;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科学技术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0.45</w:t>
      </w:r>
      <w:r>
        <w:rPr>
          <w:rFonts w:hint="eastAsia" w:ascii="仿宋_GB2312" w:hAnsi="仿宋_GB2312" w:eastAsia="仿宋_GB2312" w:cs="仿宋_GB2312"/>
          <w:sz w:val="32"/>
          <w:szCs w:val="32"/>
        </w:rPr>
        <w:t>%;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社会保障和就业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0.21</w:t>
      </w:r>
      <w:r>
        <w:rPr>
          <w:rFonts w:hint="eastAsia" w:ascii="仿宋_GB2312" w:hAnsi="仿宋_GB2312" w:eastAsia="仿宋_GB2312" w:cs="仿宋_GB2312"/>
          <w:sz w:val="32"/>
          <w:szCs w:val="32"/>
        </w:rPr>
        <w:t>%;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566.00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3.54</w:t>
      </w:r>
      <w:r>
        <w:rPr>
          <w:rFonts w:hint="eastAsia" w:ascii="仿宋_GB2312" w:hAnsi="仿宋_GB2312" w:eastAsia="仿宋_GB2312" w:cs="仿宋_GB2312"/>
          <w:sz w:val="32"/>
          <w:szCs w:val="32"/>
        </w:rPr>
        <w:t>%;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农林水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0.26</w:t>
      </w:r>
      <w:r>
        <w:rPr>
          <w:rFonts w:hint="eastAsia" w:ascii="仿宋_GB2312" w:hAnsi="仿宋_GB2312" w:eastAsia="仿宋_GB2312" w:cs="仿宋_GB2312"/>
          <w:sz w:val="32"/>
          <w:szCs w:val="32"/>
        </w:rPr>
        <w:t>%;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商业服务业等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（三）一般公共预算财政拨款支出决算具体情况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年度财政拨款支出年初预算数为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7022.96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万元，支出决算数为15992.15万元，完成年初预算的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227.71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1、一般公共服务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其他一般公共服务支出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其他一般公共服务支出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级财政专项部分未纳入年初预算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2、国防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（类）国防动员（款）兵役征集（项）。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万元，决算数大于年初预算数的主要原因是：省级财政专项部分未纳入年初预算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（类）教育管理事务（款）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行政运行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3.06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级财政专项部分未纳入年初预算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（类）教育管理事务（款）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一般行政管理事务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级财政专项部分未纳入年初预算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（类）普通教育（款）其他普通教育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万元，决算数大于年初预算数的主要原因是：省级财政专项部分未纳入年初预算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（类）职业教育（款）高等职业教育（项）。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2022.96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7425.26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367.05</w:t>
      </w:r>
      <w:r>
        <w:rPr>
          <w:rFonts w:hint="default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中央直达资金，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级财政专项部分未纳入年初预算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（类）职业教育（款）其他职业教育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级财政专项部分未纳入年初预算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（类）教育费附加安排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（款）其他教育费附加安排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7713.30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154.27</w:t>
      </w:r>
      <w:r>
        <w:rPr>
          <w:rFonts w:hint="default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级财政专项部分未纳入年初预算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科学技术支出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（类）基础研究（款）自然科学基金（项）。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级财政专项部分未纳入年初预算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科学技术支出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（类）社会科学（款）社科基金支出（项）。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级财政专项部分未纳入年初预算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科学技术支出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（类）社会科学（款）其他社会科学支出（项）。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级财政专项部分未纳入年初预算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科学技术支出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（类）科学技术普及（款）其他科学技术普及支出（项）。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级财政专项部分未纳入年初预算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科学技术支出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（类）其他科学技术支出（款）其他科学技术支出（项）。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级财政专项部分未纳入年初预算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（类）就业补助（款）其他就业补助支出（项）。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级财政专项部分未纳入年初预算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（类）抚恤（款）其他优抚支出（项）。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级财政专项部分未纳入年初预算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（类）其他社会保障和就业支出（款）其他社会保障和就业支出（项）。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级财政专项部分未纳入年初预算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（类）基层医疗卫生机构（款）其他基层医疗卫生机构支出（项）。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536.00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级财政专项部分未纳入年初预算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（类）其他卫生健康支出（款）其他卫生健康支出（项）。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级财政专项部分未纳入年初预算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农林水支出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（类）巩固脱贫攻坚成果衔接乡村振兴（款）其他巩固脱贫攻坚成果衔接乡村振兴支出（项）。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级财政专项部分未纳入年初预算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商业服务业等支出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（类）其他商业服务业等支出（款）其他商业服务业等支出（项）。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级财政专项部分未纳入年初预算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六、一般公共预算财政拨款基本支出决算情况说明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10240.63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7890.35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77.05</w:t>
      </w:r>
      <w:r>
        <w:rPr>
          <w:rFonts w:hint="eastAsia" w:ascii="仿宋_GB2312" w:hAnsi="仿宋_GB2312" w:eastAsia="仿宋_GB2312" w:cs="仿宋_GB2312"/>
          <w:sz w:val="32"/>
          <w:szCs w:val="32"/>
        </w:rPr>
        <w:t>%,主要包括基本工资、津贴补贴、绩效工资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、机关事业单位基本养老保险缴费、职业年金缴费、职工基本医疗保险缴费、其他社会保障缴费、住房公积金、其他工资福利支出、退休费、抚恤金、奖励金、其他对个人和家庭的补助。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2350.28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22.95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%，主要包括办公费、印刷费、咨询费、手续费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水费、电费、邮电费、物业管理费、差旅费、因公出国（境）费用、维修（护）费、培训费、公务接待费、专用材料费、劳务费、委托业务费、工会经费、公务用车运行维护费、其他交通费用、其他商品和服务支出、办公设备购置、专用设备购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七、政府性基金预算收入支出决算情况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i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年度政府性基金预算财政拨款收入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万元；年初结转和结余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8220.67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5440.38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5440.38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万元；年末结转和结余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2780.29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万元。具体情况如下：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1、其他支出（类）其他政府性基金及对应专项债务收入安排的支出（款）其他地方自行试点项目收益专项债券收入安排的支出（项）。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5440.38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万元，决算数大于年初预算数的主要原因是：政府性基金预算财政拨款年初结转和结余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纳入年初预算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  <w:t>八、国有资本经营预算财政拨款支出决算情况</w:t>
      </w:r>
    </w:p>
    <w:p>
      <w:pPr>
        <w:widowControl w:val="0"/>
        <w:autoSpaceDE w:val="0"/>
        <w:autoSpaceDN w:val="0"/>
        <w:adjustRightInd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2023年度国有资本经营预算财政拨款收入0.00万元；年初结转和结余0.00万；支出0.00万元；年末结转和结余0.00万元。具体情况如下：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hAnsi="黑体" w:cs="黑体"/>
          <w:b w:val="0"/>
          <w:bCs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财政拨款三公经费支出决算情况说明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（一）“三公”经费财政拨款支出决算总体情况说明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“三公”经费财政拨款支出预算为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6.80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%，决算数小于预算数的主要原因是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我单位严格控制“三公”支出，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与上年相比减少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4.49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51.97</w:t>
      </w:r>
      <w:r>
        <w:rPr>
          <w:rFonts w:hint="eastAsia" w:ascii="仿宋_GB2312" w:hAnsi="仿宋_GB2312" w:eastAsia="仿宋_GB2312" w:cs="仿宋_GB2312"/>
          <w:sz w:val="32"/>
          <w:szCs w:val="32"/>
        </w:rPr>
        <w:t>%,减少的主要原因是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公务接待减少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5.4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%，决算数小于预算数的主要原因是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本年无长期境外访学活动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，与上年相比增加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上年度无</w:t>
      </w:r>
      <w:r>
        <w:rPr>
          <w:rFonts w:hint="eastAsia" w:ascii="仿宋_GB2312" w:hAnsi="仿宋_GB2312" w:eastAsia="仿宋_GB2312" w:cs="仿宋_GB2312"/>
          <w:sz w:val="32"/>
          <w:szCs w:val="32"/>
        </w:rPr>
        <w:t>因公出国（境）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活动，本年度安排了教师参加马来西亚职教国际论坛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公务接待费支出预算为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3.09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%，决算数小于预算数的主要原因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是我院严控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公务接待费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支出，严格落实“无预算不支出、有预算不超支”的要求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，与上年相比减少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85.21</w:t>
      </w:r>
      <w:r>
        <w:rPr>
          <w:rFonts w:hint="eastAsia" w:ascii="仿宋_GB2312" w:hAnsi="仿宋_GB2312" w:eastAsia="仿宋_GB2312" w:cs="仿宋_GB2312"/>
          <w:sz w:val="32"/>
          <w:szCs w:val="32"/>
        </w:rPr>
        <w:t>%,减少的主要原因是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各职能处室、二级学院严格落实“建设节约型校园，遏制铺张浪费”的要求。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公务用车购置费支出预算为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于预算数的主要原因是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公务用车购置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费预算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，与上年相比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无增减变动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上年度与本年度均未购置公务用车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%，决算数小于预算数的主要原因是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我院严格控制公务车使用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，与上年相比增加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47.76</w:t>
      </w:r>
      <w:r>
        <w:rPr>
          <w:rFonts w:hint="eastAsia" w:ascii="仿宋_GB2312" w:hAnsi="仿宋_GB2312" w:eastAsia="仿宋_GB2312" w:cs="仿宋_GB2312"/>
          <w:sz w:val="32"/>
          <w:szCs w:val="32"/>
        </w:rPr>
        <w:t>%,增长的主要原因是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上年度数据为一般公共预算财政拨款口径，今年为财政拨款口径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（二）“三公”经费财政拨款支出决算具体情况说明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年度“三公”经费财政拨款支出决算中，公务接待费支出决算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26.09</w:t>
      </w:r>
      <w:r>
        <w:rPr>
          <w:rFonts w:hint="eastAsia" w:ascii="仿宋_GB2312" w:hAnsi="仿宋_GB2312" w:eastAsia="仿宋_GB2312" w:cs="仿宋_GB2312"/>
          <w:sz w:val="32"/>
          <w:szCs w:val="32"/>
        </w:rPr>
        <w:t>%,因公出国（境）费支出决算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26.09</w:t>
      </w:r>
      <w:r>
        <w:rPr>
          <w:rFonts w:hint="eastAsia" w:ascii="仿宋_GB2312" w:hAnsi="仿宋_GB2312" w:eastAsia="仿宋_GB2312" w:cs="仿宋_GB2312"/>
          <w:sz w:val="32"/>
          <w:szCs w:val="32"/>
        </w:rPr>
        <w:t>%,公务用车购置费及运行维护费支出决算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47.82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万元，全年安排因公出国（境）团组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个，累计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</w:t>
      </w:r>
      <w:r>
        <w:rPr>
          <w:rFonts w:hint="eastAsia" w:ascii="仿宋_GB2312" w:hAnsi="仿宋_GB2312" w:eastAsia="仿宋_GB2312" w:cs="仿宋_GB2312"/>
          <w:b/>
          <w:bCs/>
          <w:i/>
          <w:color w:val="auto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开支内容包括：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/>
          <w:bCs/>
          <w:i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2023年马来西亚职业教育国际论坛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出国手续办理，往返机票、住宿、会务费等费用。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2、公务接待费支出决算为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万元，全年共接待来访团组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个、来宾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346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人次，主要是北京百通世纪科技公司来校开展助产专业培训项目工作交流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深圳欢乐谷来校洽谈校企合作事宜、南海医院洽谈关于学生实习就业、华夏眼科医院洽谈学生实习及就业事宜、长沙泰和医院实习生招录事宜、保靖县职业中专来校开展学习交流、隆回县职业中专来校中协商高衔接及“1+X”证书试点、接待南方医科大学附属医院学生实习事宜、接待湘阴县翰娟商贸公司洽谈营销专业合作事宜、接待山东鲁花集团销大数据会计人才培养、接待深圳南凯物流校企合作事宜、金职伟业公司开展金砖四国比赛洽谈事宜、接待湖南铭博公司急救教育培训现场交流、招待湖南艺术职业学院来校访问等</w:t>
      </w:r>
      <w:r>
        <w:rPr>
          <w:rFonts w:hint="eastAsia" w:ascii="仿宋_GB2312" w:hAnsi="仿宋_GB2312" w:eastAsia="仿宋_GB2312" w:cs="仿宋_GB2312"/>
          <w:sz w:val="32"/>
          <w:szCs w:val="32"/>
        </w:rPr>
        <w:t>发生的接待支出。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/>
          <w:bCs/>
          <w:i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3、公务用车购置费及运行维护费支出决算为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万元，其中：公务用车购置费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岳阳职业技术学院本级</w:t>
      </w:r>
      <w:r>
        <w:rPr>
          <w:rFonts w:hint="eastAsia" w:ascii="仿宋_GB2312" w:hAnsi="仿宋_GB2312" w:eastAsia="仿宋_GB2312" w:cs="仿宋_GB2312"/>
          <w:sz w:val="32"/>
          <w:szCs w:val="32"/>
        </w:rPr>
        <w:t>更新公务用车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万元，主要是主要是车辆油耗、车辆维修维护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车辆保险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、过桥过路费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支出，截止202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年12月31日，我单位开支财政拨款的公务用车保有量为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辆。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仿宋_GB2312"/>
          <w:b/>
          <w:color w:val="auto"/>
          <w:sz w:val="32"/>
          <w:szCs w:val="32"/>
        </w:rPr>
        <w:t>、关于机关运行经费支出说明</w:t>
      </w:r>
    </w:p>
    <w:p>
      <w:pPr>
        <w:pStyle w:val="13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本级和所属单位均为事业单位，按照机关运行经费的口径，本年度机关运行经费为0。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、一般性支出情况说明</w:t>
      </w:r>
    </w:p>
    <w:p>
      <w:pPr>
        <w:pStyle w:val="1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年度，会议费年初预算0.00万元，支出决算为34.06万元，决算数大于年初预算数的主要原因是本部门未安排公用经费(商品和服务支出)年初预算。用于召开19次院内会议，</w:t>
      </w:r>
      <w:r>
        <w:rPr>
          <w:rFonts w:hint="eastAsia" w:ascii="仿宋_GB2312" w:hAnsi="仿宋_GB2312" w:eastAsia="仿宋_GB2312" w:cs="仿宋_GB2312"/>
          <w:sz w:val="32"/>
          <w:szCs w:val="32"/>
        </w:rPr>
        <w:t>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2583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人，内容为2023年新学期教职工大会、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毕业生现场招聘会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产教融合专委会培训研讨会、全国游乐设施学术会议、全国助产联盟理事会会议、职教集团第三届理事会换届大会、省级标准评审会、职教集团科技创新与服务专委会、物流产业联盟会议、智慧康养康育产教融合发展与创新论坛会议、教职工暨工会会员代表大会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职称评审会等。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645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培训费年初预算0.00万元，支出决算为233.05万元，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决算数大于年初预算数的主要原因是本部门未安排公用经费(商品和服务支出)年初预算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。用于开展促进教师的专业发展，进一步提升教师专业素质和教学技能，积极探索行之有效的教学方法，全面提高教师的教学研究能力的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培训，人数1563人，内容为新进教师教学能力提升培训班、专任教师春、秋季校本培训、人才培养方案系列标准培训、师德师风常态化建设专题培训班、国内知名大学、相关学会、协会参加国培、省培等培训。</w:t>
      </w:r>
    </w:p>
    <w:p>
      <w:pPr>
        <w:widowControl w:val="0"/>
        <w:autoSpaceDE w:val="0"/>
        <w:autoSpaceDN w:val="0"/>
        <w:adjustRightInd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举办节庆、晚会、论坛、赛事活动年初预算0.00万元，支出决算为292.77万元，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决算数大于年初预算数的主要原因是本部门未安排公用经费(商品和服务支出)年初预算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，主要是承办省级以上妇幼健康相关技能大赛、2023年全国职业院校护理技能国赛、师生运动会、学生军训动员会、学生军训会操、校园文化艺术节、校园技能节等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、关于政府采购支出说明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年度政府采购支出总额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16109.13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万元，其中：政府采购货物支出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4370.05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万元、政府采购工程支出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9871.86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1867.21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万元。授予中小企业合同金额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15858.01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万元，占政府采购支出总额的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98.44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%，其中：授予小微企业合同金额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5237.27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授予中小企业合同金额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33.03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%。货物采购授予中小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企业合同金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额占货物支出金额的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100.00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%，工程采购授予中小企业合同金额占工程支出金额的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100.00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%，服务采购授予中小企业合同金额占服务支出金额的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97.46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、关于国有资产占用情况说明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年12月31日，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部门（单位）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共有车辆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，副部（省）级及以上领导用车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机要通信用车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辆、应急保障用车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辆、执法执勤用车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辆、特种专业技术用车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离退休干部服务用车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辆、其他用车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辆，其他用车主要是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处理学院日常事务的公务用车；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单位价值100万元以上设备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（不含车辆）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台（套）。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年度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预算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绩效情况的说明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（一）绩效管理工作开展情况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根据预算绩效管理要求，我们组织对2023年度整体支出和项目资金实施了全覆盖性的绩效评价，撰写了绩效自评报告。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开展整体支出绩效评价，涉及一般公共预算支出15992.15万元，政府性基金预算支出5440.38万元，国有资本经营预算支出0.00万元。从评价情况来看，整体支出绩效评价中，2023年整体支出33225.78万元，其中：基本支出15423.79万元，项目支出17801.99万元，本单位整体支出绩效自评综合评分98分，评价结果等次为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对一般公共预算项目支出全面开展绩效自评，项目1个，共涉及资金50.00万元，占一般公共预算项目支出总额的0.87%。组织对政府性基金预算项目支出开展绩效自评，项目0个，共涉及资金0.00万元，占政府性基金预算项目支出总额的0.00%。组织对国有资本经营预算项目支出开展绩效自评，项目0个，共涉及资金0.00万元，占国有资本经营预算项目支出总额的0.00%。从评价情况来看，项目绩效自评得分98分，评价结果等次为优秀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部门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（单位）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根据年初设定的绩效目标，绩效自评得分为98分。全年预算数为36006.06万元，执行数为33225.77万元，完成预算的92.28%。绩效目标完成情况：一是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实现国家“双高”的11个方面27个目标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；二是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完成省“双高”的9个方面26个任务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；三是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创建全国基层党建团建典型案例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1个；四是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学生参加国家级技能大赛获奖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5项；五是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教师职业能力比赛省赛获奖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6项；六是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引进和培育博士学位教师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5名，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引进和培育高层次人才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15名；七是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组织教师境外培训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15人次；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八是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完成15个教学创新团队完善课程体系建设；建设国家级精品在线开放课程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；九是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完成湖南省乡村振兴致富带头人培训1472人、大学生创业培训510人，非农在编人员培训50人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等。发现的主要问题及原因：一是部分绩效目标设置不切实际，没有能力达成；二是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固定资产管理不够规范，对于资产的界定模糊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。下一步改进措施：一是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进一步加强预算绩效管理，提升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绩效指标设置的精准性、合理性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；二是加强业务学习，强化资产管理。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存在的问题及原因分析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1、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预算项目安排计划性有待加强。有的预算项目前期可行性论证不充分，建设条件还不完全成熟，加上年度预算安排的项目偏多，造成学校整体预算执行没有达到预期目标。 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2、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项目指标挂网或拨付时间需提早。由于项目挂网相对基本支出时间比较滞后，加上生均清算指标下达时间较晚，导致资金支出进度前慢后快，一定程度上影响了资金使用、项目产出及效益的客观评价。 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3、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财务管理制度需进一步补充完善。存在财务制度修订未及时，项目库建设还不完善，影响了学校建设任务稳步推进。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预算绩效管理开展情况、绩效目标和绩效评价报告等，已在市政府部门财政预决算公开平台上向社会公开，详见附件。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楷体" w:hAnsi="楷体" w:eastAsia="楷体" w:cs="楷体"/>
          <w:b/>
          <w:bCs/>
          <w:i w:val="0"/>
          <w:iCs w:val="0"/>
          <w:color w:val="FF0000"/>
          <w:kern w:val="0"/>
          <w:sz w:val="36"/>
          <w:szCs w:val="36"/>
          <w:lang w:val="en-US" w:eastAsia="zh-CN"/>
        </w:rPr>
      </w:pPr>
    </w:p>
    <w:p>
      <w:pPr>
        <w:pStyle w:val="13"/>
        <w:jc w:val="both"/>
        <w:rPr>
          <w:sz w:val="72"/>
          <w:szCs w:val="72"/>
        </w:rPr>
      </w:pPr>
    </w:p>
    <w:p>
      <w:pPr>
        <w:pStyle w:val="13"/>
        <w:jc w:val="center"/>
        <w:rPr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第四部分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  <w:t>名词解释</w:t>
      </w:r>
    </w:p>
    <w:p>
      <w:pPr>
        <w:pStyle w:val="7"/>
      </w:pPr>
    </w:p>
    <w:p>
      <w:pPr>
        <w:pStyle w:val="2"/>
      </w:pPr>
    </w:p>
    <w:p/>
    <w:p>
      <w:pPr>
        <w:pStyle w:val="7"/>
      </w:pPr>
    </w:p>
    <w:p>
      <w:pPr>
        <w:pStyle w:val="2"/>
      </w:pPr>
    </w:p>
    <w:p/>
    <w:p>
      <w:pPr>
        <w:pStyle w:val="7"/>
      </w:pPr>
    </w:p>
    <w:p>
      <w:pPr>
        <w:pStyle w:val="2"/>
      </w:pPr>
    </w:p>
    <w:p/>
    <w:p>
      <w:pPr>
        <w:pStyle w:val="7"/>
      </w:pPr>
    </w:p>
    <w:p>
      <w:pPr>
        <w:pStyle w:val="2"/>
      </w:pPr>
    </w:p>
    <w:p/>
    <w:p>
      <w:pPr>
        <w:pStyle w:val="7"/>
      </w:pPr>
    </w:p>
    <w:p>
      <w:pPr>
        <w:pStyle w:val="2"/>
      </w:pPr>
    </w:p>
    <w:p/>
    <w:p>
      <w:pPr>
        <w:pStyle w:val="7"/>
      </w:pPr>
    </w:p>
    <w:p>
      <w:pPr>
        <w:pStyle w:val="2"/>
      </w:pPr>
    </w:p>
    <w:p/>
    <w:p>
      <w:pPr>
        <w:pStyle w:val="7"/>
      </w:pPr>
    </w:p>
    <w:p>
      <w:pPr>
        <w:pStyle w:val="2"/>
      </w:pPr>
    </w:p>
    <w:p/>
    <w:p>
      <w:pPr>
        <w:pStyle w:val="7"/>
      </w:pPr>
    </w:p>
    <w:p>
      <w:pPr>
        <w:pStyle w:val="2"/>
      </w:pPr>
    </w:p>
    <w:p/>
    <w:p>
      <w:pPr>
        <w:pStyle w:val="7"/>
      </w:pPr>
    </w:p>
    <w:p>
      <w:pPr>
        <w:pStyle w:val="2"/>
      </w:pPr>
    </w:p>
    <w:p/>
    <w:p>
      <w:pPr>
        <w:pStyle w:val="7"/>
      </w:pPr>
    </w:p>
    <w:p>
      <w:pPr>
        <w:pStyle w:val="2"/>
      </w:pPr>
    </w:p>
    <w:p/>
    <w:p>
      <w:pPr>
        <w:pStyle w:val="7"/>
      </w:pPr>
    </w:p>
    <w:p>
      <w:pPr>
        <w:pStyle w:val="2"/>
      </w:pPr>
    </w:p>
    <w:p>
      <w:pPr>
        <w:pStyle w:val="2"/>
      </w:pPr>
    </w:p>
    <w:p/>
    <w:p>
      <w:pPr>
        <w:pStyle w:val="7"/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二、机关运行经费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，指为保障行政单位（包括参照公务员法管理的事业单位）运行用于购买货物和服务的各项资金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，包括办公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费、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印刷费、邮电费、差旅费、会议费、日常维修费、专用材料及一般设备购置费、办公用房水电费、办公用房取暖费、办公用房物业管理费、公务用车运行维护费以及其他费用。</w:t>
      </w:r>
    </w:p>
    <w:p>
      <w:pPr>
        <w:pStyle w:val="13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2"/>
      </w:pPr>
    </w:p>
    <w:p/>
    <w:p>
      <w:pPr>
        <w:pStyle w:val="7"/>
      </w:pPr>
    </w:p>
    <w:p>
      <w:pPr>
        <w:pStyle w:val="2"/>
      </w:pPr>
    </w:p>
    <w:p/>
    <w:p>
      <w:pPr>
        <w:pStyle w:val="7"/>
      </w:pPr>
    </w:p>
    <w:p>
      <w:pPr>
        <w:pStyle w:val="2"/>
      </w:pPr>
    </w:p>
    <w:p/>
    <w:p>
      <w:pPr>
        <w:pStyle w:val="7"/>
      </w:pPr>
    </w:p>
    <w:p>
      <w:pPr>
        <w:pStyle w:val="2"/>
      </w:pPr>
    </w:p>
    <w:p/>
    <w:p>
      <w:pPr>
        <w:pStyle w:val="7"/>
      </w:pPr>
    </w:p>
    <w:p>
      <w:pPr>
        <w:pStyle w:val="2"/>
      </w:pPr>
    </w:p>
    <w:p/>
    <w:p>
      <w:pPr>
        <w:pStyle w:val="7"/>
      </w:pPr>
    </w:p>
    <w:p>
      <w:pPr>
        <w:pStyle w:val="2"/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</w:t>
      </w:r>
      <w:r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部分</w:t>
      </w:r>
    </w:p>
    <w:p>
      <w:pPr>
        <w:pStyle w:val="13"/>
        <w:jc w:val="both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  <w:t>附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  <w:t>件</w:t>
      </w: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1、2023年部门决算公开表格</w:t>
      </w:r>
    </w:p>
    <w:p>
      <w:pPr>
        <w:ind w:firstLine="640" w:firstLineChars="200"/>
        <w:jc w:val="left"/>
        <w:rPr>
          <w:rFonts w:ascii="宋体" w:hAnsi="宋体" w:eastAsia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年度部门整体支出绩效评价报告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ODNiMDU5OGZlNDIwYzhlOGFjYThjMTc3ZTIwYzAifQ=="/>
  </w:docVars>
  <w:rsids>
    <w:rsidRoot w:val="004506F9"/>
    <w:rsid w:val="0002229B"/>
    <w:rsid w:val="000273BD"/>
    <w:rsid w:val="00040CBC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926B9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AB18F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40201D3"/>
    <w:rsid w:val="052102F4"/>
    <w:rsid w:val="059958AD"/>
    <w:rsid w:val="05AA78BE"/>
    <w:rsid w:val="086D184F"/>
    <w:rsid w:val="0B67713B"/>
    <w:rsid w:val="12583BA5"/>
    <w:rsid w:val="13BA5B9C"/>
    <w:rsid w:val="15316AAD"/>
    <w:rsid w:val="1D97DEFF"/>
    <w:rsid w:val="1DFF72E5"/>
    <w:rsid w:val="1EFC6F07"/>
    <w:rsid w:val="1F622076"/>
    <w:rsid w:val="22AC03C2"/>
    <w:rsid w:val="23DE58D7"/>
    <w:rsid w:val="2FDF85B8"/>
    <w:rsid w:val="2FFFEE04"/>
    <w:rsid w:val="31C95635"/>
    <w:rsid w:val="34DF85B0"/>
    <w:rsid w:val="351A34EC"/>
    <w:rsid w:val="352944D8"/>
    <w:rsid w:val="35745419"/>
    <w:rsid w:val="375C4A3C"/>
    <w:rsid w:val="39162532"/>
    <w:rsid w:val="3B8F36BC"/>
    <w:rsid w:val="41AD4111"/>
    <w:rsid w:val="426651F6"/>
    <w:rsid w:val="436A06BA"/>
    <w:rsid w:val="44071E88"/>
    <w:rsid w:val="44401104"/>
    <w:rsid w:val="45B24E8E"/>
    <w:rsid w:val="470912FC"/>
    <w:rsid w:val="47743FAE"/>
    <w:rsid w:val="491FF225"/>
    <w:rsid w:val="49F043C7"/>
    <w:rsid w:val="4F8B1BBF"/>
    <w:rsid w:val="4F8C112A"/>
    <w:rsid w:val="4FFD214C"/>
    <w:rsid w:val="5352765A"/>
    <w:rsid w:val="55E31896"/>
    <w:rsid w:val="5777D4F5"/>
    <w:rsid w:val="590F4AA8"/>
    <w:rsid w:val="59DD8326"/>
    <w:rsid w:val="5A7871E4"/>
    <w:rsid w:val="5DEF592A"/>
    <w:rsid w:val="5FC6BB1E"/>
    <w:rsid w:val="5FF720F1"/>
    <w:rsid w:val="61016185"/>
    <w:rsid w:val="6415736A"/>
    <w:rsid w:val="67FF5C0B"/>
    <w:rsid w:val="68080E34"/>
    <w:rsid w:val="69A43B52"/>
    <w:rsid w:val="6BAA4A2F"/>
    <w:rsid w:val="6E4461B4"/>
    <w:rsid w:val="6EFC0924"/>
    <w:rsid w:val="6FB74722"/>
    <w:rsid w:val="6FEF8B7E"/>
    <w:rsid w:val="71A6591B"/>
    <w:rsid w:val="737D59BA"/>
    <w:rsid w:val="737F32B1"/>
    <w:rsid w:val="74C01A5C"/>
    <w:rsid w:val="76FA1255"/>
    <w:rsid w:val="77C37683"/>
    <w:rsid w:val="77FF285C"/>
    <w:rsid w:val="79FF515B"/>
    <w:rsid w:val="7E9E1962"/>
    <w:rsid w:val="7E9F11B4"/>
    <w:rsid w:val="7F37EC1E"/>
    <w:rsid w:val="7F7DCD9D"/>
    <w:rsid w:val="7F970A6F"/>
    <w:rsid w:val="7FC1FFF3"/>
    <w:rsid w:val="7FC69637"/>
    <w:rsid w:val="7FDF8620"/>
    <w:rsid w:val="7FFB242F"/>
    <w:rsid w:val="7FFDB408"/>
    <w:rsid w:val="7FFE4EEB"/>
    <w:rsid w:val="95FB2B98"/>
    <w:rsid w:val="9A639BC2"/>
    <w:rsid w:val="9FF7D786"/>
    <w:rsid w:val="ABBFB23D"/>
    <w:rsid w:val="C3B4DA5A"/>
    <w:rsid w:val="CBFF70E0"/>
    <w:rsid w:val="CFF50B82"/>
    <w:rsid w:val="CFFFAD89"/>
    <w:rsid w:val="DFFE359E"/>
    <w:rsid w:val="DFFE4FFD"/>
    <w:rsid w:val="EEABED75"/>
    <w:rsid w:val="F56FDF51"/>
    <w:rsid w:val="F6B69F17"/>
    <w:rsid w:val="F77F1D61"/>
    <w:rsid w:val="F7FED3A9"/>
    <w:rsid w:val="F8C9DB26"/>
    <w:rsid w:val="F97E8EAE"/>
    <w:rsid w:val="FB36E1A6"/>
    <w:rsid w:val="FB3BE134"/>
    <w:rsid w:val="FCFF4275"/>
    <w:rsid w:val="FD7FEEEA"/>
    <w:rsid w:val="FDFFB577"/>
    <w:rsid w:val="FEEA50FE"/>
    <w:rsid w:val="FF7D47A9"/>
    <w:rsid w:val="FFCF21CB"/>
    <w:rsid w:val="FF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autoRedefine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next w:val="2"/>
    <w:autoRedefine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autoRedefine/>
    <w:qFormat/>
    <w:uiPriority w:val="99"/>
    <w:rPr>
      <w:sz w:val="18"/>
      <w:szCs w:val="18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6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1347</Words>
  <Characters>7679</Characters>
  <Lines>63</Lines>
  <Paragraphs>18</Paragraphs>
  <TotalTime>1414</TotalTime>
  <ScaleCrop>false</ScaleCrop>
  <LinksUpToDate>false</LinksUpToDate>
  <CharactersWithSpaces>9008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2020-07-08T02:32:00Z</dcterms:created>
  <dc:creator>李航 null</dc:creator>
  <cp:lastModifiedBy>粟超艺</cp:lastModifiedBy>
  <cp:lastPrinted>2024-08-08T10:20:00Z</cp:lastPrinted>
  <dcterms:modified xsi:type="dcterms:W3CDTF">2024-09-25T08:12:30Z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98623D6660B449428EB8E073C6C952EA</vt:lpwstr>
  </property>
</Properties>
</file>