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center"/>
        <w:rPr>
          <w:sz w:val="56"/>
          <w:szCs w:val="56"/>
        </w:rPr>
      </w:pPr>
    </w:p>
    <w:p>
      <w:pPr>
        <w:pStyle w:val="16"/>
        <w:jc w:val="center"/>
        <w:rPr>
          <w:sz w:val="56"/>
          <w:szCs w:val="56"/>
        </w:rPr>
      </w:pPr>
    </w:p>
    <w:p>
      <w:pPr>
        <w:pStyle w:val="16"/>
        <w:jc w:val="center"/>
        <w:rPr>
          <w:sz w:val="84"/>
          <w:szCs w:val="84"/>
        </w:rPr>
      </w:pPr>
    </w:p>
    <w:p>
      <w:pPr>
        <w:pStyle w:val="16"/>
        <w:jc w:val="center"/>
        <w:rPr>
          <w:sz w:val="84"/>
          <w:szCs w:val="84"/>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岳阳城陵矶综合保税区</w:t>
      </w: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管理委员会</w:t>
      </w:r>
      <w:r>
        <w:rPr>
          <w:rFonts w:hint="eastAsia" w:ascii="方正小标宋_GBK" w:hAnsi="方正小标宋_GBK" w:eastAsia="方正小标宋_GBK" w:cs="方正小标宋_GBK"/>
          <w:sz w:val="84"/>
          <w:szCs w:val="84"/>
          <w:lang w:eastAsia="zh-CN"/>
        </w:rPr>
        <w:t>部门</w:t>
      </w:r>
      <w:r>
        <w:rPr>
          <w:rFonts w:hint="eastAsia" w:ascii="方正小标宋_GBK" w:hAnsi="方正小标宋_GBK" w:eastAsia="方正小标宋_GBK" w:cs="方正小标宋_GBK"/>
          <w:sz w:val="84"/>
          <w:szCs w:val="84"/>
        </w:rPr>
        <w:t>决算</w:t>
      </w:r>
    </w:p>
    <w:p>
      <w:pPr>
        <w:pStyle w:val="16"/>
        <w:jc w:val="center"/>
        <w:rPr>
          <w:sz w:val="56"/>
          <w:szCs w:val="56"/>
        </w:rPr>
      </w:pPr>
    </w:p>
    <w:p>
      <w:pPr>
        <w:pStyle w:val="16"/>
        <w:jc w:val="center"/>
        <w:rPr>
          <w:sz w:val="56"/>
          <w:szCs w:val="56"/>
        </w:rPr>
      </w:pPr>
    </w:p>
    <w:p>
      <w:pPr>
        <w:pStyle w:val="16"/>
        <w:jc w:val="center"/>
        <w:rPr>
          <w:sz w:val="56"/>
          <w:szCs w:val="56"/>
        </w:rPr>
      </w:pPr>
    </w:p>
    <w:p>
      <w:pPr>
        <w:pStyle w:val="16"/>
        <w:jc w:val="center"/>
        <w:rPr>
          <w:sz w:val="32"/>
          <w:szCs w:val="32"/>
        </w:rPr>
      </w:pPr>
    </w:p>
    <w:p>
      <w:pPr>
        <w:pStyle w:val="16"/>
        <w:jc w:val="center"/>
        <w:rPr>
          <w:sz w:val="32"/>
          <w:szCs w:val="32"/>
        </w:rPr>
      </w:pPr>
    </w:p>
    <w:p>
      <w:pPr>
        <w:pStyle w:val="16"/>
        <w:spacing w:line="500" w:lineRule="exact"/>
        <w:jc w:val="both"/>
        <w:rPr>
          <w:b/>
          <w:sz w:val="36"/>
          <w:szCs w:val="28"/>
        </w:rPr>
      </w:pPr>
    </w:p>
    <w:p>
      <w:pPr>
        <w:pStyle w:val="16"/>
        <w:keepNext w:val="0"/>
        <w:keepLines w:val="0"/>
        <w:pageBreakBefore w:val="0"/>
        <w:widowControl w:val="0"/>
        <w:kinsoku/>
        <w:wordWrap/>
        <w:overflowPunct/>
        <w:topLinePunct w:val="0"/>
        <w:bidi w:val="0"/>
        <w:snapToGrid/>
        <w:spacing w:line="440" w:lineRule="exact"/>
        <w:jc w:val="center"/>
        <w:textAlignment w:val="auto"/>
        <w:rPr>
          <w:b/>
          <w:sz w:val="36"/>
          <w:szCs w:val="28"/>
        </w:rPr>
      </w:pPr>
      <w:r>
        <w:rPr>
          <w:rFonts w:hint="eastAsia"/>
          <w:b/>
          <w:sz w:val="36"/>
          <w:szCs w:val="28"/>
        </w:rPr>
        <w:t>目录</w:t>
      </w:r>
    </w:p>
    <w:p>
      <w:pPr>
        <w:pStyle w:val="16"/>
        <w:keepNext w:val="0"/>
        <w:keepLines w:val="0"/>
        <w:pageBreakBefore w:val="0"/>
        <w:widowControl w:val="0"/>
        <w:kinsoku/>
        <w:wordWrap/>
        <w:overflowPunct/>
        <w:topLinePunct w:val="0"/>
        <w:bidi w:val="0"/>
        <w:snapToGrid/>
        <w:spacing w:line="44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岳阳城陵矶综合保税区管理委员会</w:t>
      </w:r>
      <w:r>
        <w:rPr>
          <w:rFonts w:hint="eastAsia" w:hAnsi="黑体" w:cs="黑体"/>
          <w:b w:val="0"/>
          <w:bCs/>
          <w:sz w:val="28"/>
          <w:szCs w:val="28"/>
          <w:lang w:eastAsia="zh-CN"/>
        </w:rPr>
        <w:t>部门</w:t>
      </w:r>
      <w:r>
        <w:rPr>
          <w:rFonts w:hint="eastAsia" w:ascii="黑体" w:hAnsi="黑体" w:eastAsia="黑体" w:cs="黑体"/>
          <w:b w:val="0"/>
          <w:bCs/>
          <w:sz w:val="28"/>
          <w:szCs w:val="28"/>
        </w:rPr>
        <w:t>概况</w:t>
      </w:r>
    </w:p>
    <w:p>
      <w:pPr>
        <w:pStyle w:val="16"/>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6"/>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pPr>
        <w:pStyle w:val="16"/>
        <w:keepNext w:val="0"/>
        <w:keepLines w:val="0"/>
        <w:pageBreakBefore w:val="0"/>
        <w:widowControl w:val="0"/>
        <w:kinsoku/>
        <w:wordWrap/>
        <w:overflowPunct/>
        <w:topLinePunct w:val="0"/>
        <w:bidi w:val="0"/>
        <w:snapToGrid/>
        <w:spacing w:line="44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6"/>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6"/>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6"/>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6"/>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6"/>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6"/>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6"/>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6"/>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6"/>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6"/>
        <w:keepNext w:val="0"/>
        <w:keepLines w:val="0"/>
        <w:pageBreakBefore w:val="0"/>
        <w:widowControl w:val="0"/>
        <w:kinsoku/>
        <w:wordWrap/>
        <w:overflowPunct/>
        <w:topLinePunct w:val="0"/>
        <w:bidi w:val="0"/>
        <w:snapToGrid/>
        <w:spacing w:line="44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6"/>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keepNext w:val="0"/>
        <w:keepLines w:val="0"/>
        <w:pageBreakBefore w:val="0"/>
        <w:widowControl w:val="0"/>
        <w:kinsoku/>
        <w:wordWrap/>
        <w:overflowPunct/>
        <w:topLinePunct w:val="0"/>
        <w:bidi w:val="0"/>
        <w:snapToGrid/>
        <w:spacing w:line="440" w:lineRule="exact"/>
        <w:ind w:firstLine="700" w:firstLineChars="2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4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6"/>
        <w:keepNext w:val="0"/>
        <w:keepLines w:val="0"/>
        <w:pageBreakBefore w:val="0"/>
        <w:widowControl w:val="0"/>
        <w:kinsoku/>
        <w:wordWrap/>
        <w:overflowPunct/>
        <w:topLinePunct w:val="0"/>
        <w:bidi w:val="0"/>
        <w:snapToGrid/>
        <w:spacing w:line="44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6"/>
        <w:keepNext w:val="0"/>
        <w:keepLines w:val="0"/>
        <w:pageBreakBefore w:val="0"/>
        <w:widowControl w:val="0"/>
        <w:kinsoku/>
        <w:wordWrap/>
        <w:overflowPunct/>
        <w:topLinePunct w:val="0"/>
        <w:bidi w:val="0"/>
        <w:snapToGrid/>
        <w:spacing w:line="44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6"/>
        <w:keepNext w:val="0"/>
        <w:keepLines w:val="0"/>
        <w:pageBreakBefore w:val="0"/>
        <w:widowControl w:val="0"/>
        <w:kinsoku/>
        <w:wordWrap/>
        <w:overflowPunct/>
        <w:topLinePunct w:val="0"/>
        <w:bidi w:val="0"/>
        <w:snapToGrid/>
        <w:spacing w:line="440" w:lineRule="exac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rPr>
      </w:pPr>
    </w:p>
    <w:p>
      <w:pPr>
        <w:pStyle w:val="16"/>
        <w:ind w:firstLine="2520" w:firstLineChars="300"/>
        <w:jc w:val="both"/>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岳阳城陵矶综合保税区管理委员会部门</w:t>
      </w:r>
      <w:r>
        <w:rPr>
          <w:rFonts w:hint="eastAsia" w:ascii="方正小标宋_GBK" w:hAnsi="方正小标宋_GBK" w:eastAsia="方正小标宋_GBK" w:cs="方正小标宋_GBK"/>
          <w:sz w:val="84"/>
          <w:szCs w:val="84"/>
        </w:rPr>
        <w:t>概况</w:t>
      </w:r>
    </w:p>
    <w:p>
      <w:pPr>
        <w:pStyle w:val="11"/>
        <w:rPr>
          <w:rFonts w:hint="eastAsia" w:ascii="方正小标宋_GBK" w:hAnsi="方正小标宋_GBK" w:eastAsia="方正小标宋_GBK" w:cs="方正小标宋_GBK"/>
          <w:sz w:val="84"/>
          <w:szCs w:val="84"/>
        </w:rPr>
      </w:pPr>
    </w:p>
    <w:p>
      <w:pPr>
        <w:pStyle w:val="8"/>
        <w:rPr>
          <w:rFonts w:hint="eastAsia" w:ascii="方正小标宋_GBK" w:hAnsi="方正小标宋_GBK" w:eastAsia="方正小标宋_GBK" w:cs="方正小标宋_GBK"/>
          <w:sz w:val="84"/>
          <w:szCs w:val="84"/>
        </w:rPr>
      </w:pPr>
    </w:p>
    <w:p>
      <w:pPr>
        <w:rPr>
          <w:rFonts w:hint="eastAsia" w:ascii="方正小标宋_GBK" w:hAnsi="方正小标宋_GBK" w:eastAsia="方正小标宋_GBK" w:cs="方正小标宋_GBK"/>
          <w:sz w:val="84"/>
          <w:szCs w:val="84"/>
        </w:rPr>
      </w:pPr>
    </w:p>
    <w:p>
      <w:pPr>
        <w:pStyle w:val="17"/>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部门职责</w:t>
      </w:r>
    </w:p>
    <w:p>
      <w:pPr>
        <w:keepNext/>
        <w:keepLines/>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olor w:val="auto"/>
          <w:kern w:val="0"/>
          <w:sz w:val="32"/>
          <w:lang w:val="en-US" w:eastAsia="zh-CN"/>
        </w:rPr>
      </w:pPr>
      <w:r>
        <w:rPr>
          <w:rFonts w:hint="eastAsia" w:ascii="仿宋_GB2312" w:hAnsi="仿宋_GB2312" w:eastAsia="仿宋_GB2312"/>
          <w:color w:val="auto"/>
          <w:kern w:val="0"/>
          <w:sz w:val="32"/>
          <w:lang w:val="en-US" w:eastAsia="zh-CN"/>
        </w:rPr>
        <w:t>（1）贯彻执行党和国家关于发展综合保税区的方针、政策和法律、法规、规章；研究制定和组织实施岳阳城陵矶综合保税区各项具体管理制度；开展政策、法规宣传教育工作；根据市人民政府授权，检查督促各项政策、法规的执行。</w:t>
      </w:r>
    </w:p>
    <w:p>
      <w:pPr>
        <w:keepNext/>
        <w:keepLines/>
        <w:pageBreakBefore w:val="0"/>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olor w:val="auto"/>
          <w:kern w:val="0"/>
          <w:sz w:val="32"/>
          <w:lang w:val="en-US" w:eastAsia="zh-CN"/>
        </w:rPr>
      </w:pPr>
      <w:r>
        <w:rPr>
          <w:rFonts w:hint="eastAsia" w:ascii="仿宋_GB2312" w:hAnsi="仿宋_GB2312" w:eastAsia="仿宋_GB2312"/>
          <w:color w:val="auto"/>
          <w:kern w:val="0"/>
          <w:sz w:val="32"/>
          <w:lang w:val="en-US" w:eastAsia="zh-CN"/>
        </w:rPr>
        <w:t>（2）组织参与编制岳阳城陵矶综合保税区中长期发展规划，拟定鼓励重点产业发展的财政扶持政策。</w:t>
      </w:r>
    </w:p>
    <w:p>
      <w:pPr>
        <w:keepNext/>
        <w:keepLines/>
        <w:pageBreakBefore w:val="0"/>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olor w:val="auto"/>
          <w:kern w:val="0"/>
          <w:sz w:val="32"/>
          <w:lang w:val="en-US" w:eastAsia="zh-CN"/>
        </w:rPr>
      </w:pPr>
      <w:r>
        <w:rPr>
          <w:rFonts w:hint="eastAsia" w:ascii="仿宋_GB2312" w:hAnsi="仿宋_GB2312" w:eastAsia="仿宋_GB2312"/>
          <w:color w:val="auto"/>
          <w:kern w:val="0"/>
          <w:sz w:val="32"/>
          <w:lang w:val="en-US" w:eastAsia="zh-CN"/>
        </w:rPr>
        <w:t>（3）负责综合保税区招商引资有关工作；协助有关部门审核和批准管理范围内的外资和内资项目，指导和协调招商引资、对外经济技术合作与交流；协助有关部门处理区内有关涉外事务。</w:t>
      </w:r>
    </w:p>
    <w:p>
      <w:pPr>
        <w:keepNext/>
        <w:keepLines/>
        <w:pageBreakBefore w:val="0"/>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olor w:val="auto"/>
          <w:kern w:val="0"/>
          <w:sz w:val="32"/>
          <w:lang w:val="en-US" w:eastAsia="zh-CN"/>
        </w:rPr>
      </w:pPr>
      <w:r>
        <w:rPr>
          <w:rFonts w:hint="eastAsia" w:ascii="仿宋_GB2312" w:hAnsi="仿宋_GB2312" w:eastAsia="仿宋_GB2312"/>
          <w:color w:val="auto"/>
          <w:kern w:val="0"/>
          <w:sz w:val="32"/>
          <w:lang w:val="en-US" w:eastAsia="zh-CN"/>
        </w:rPr>
        <w:t>（4）根据市人民政府授权或接受有关部门委托，负责协调区内企业与民航、海关、检验检疫、口岸、工商、税务、金融、知识产权等有关部门和公安等其他驻区单位的工作，为企业提供指导和服务。</w:t>
      </w:r>
    </w:p>
    <w:p>
      <w:pPr>
        <w:keepNext/>
        <w:keepLines/>
        <w:pageBreakBefore w:val="0"/>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olor w:val="auto"/>
          <w:kern w:val="0"/>
          <w:sz w:val="32"/>
          <w:lang w:val="en-US" w:eastAsia="zh-CN"/>
        </w:rPr>
      </w:pPr>
      <w:r>
        <w:rPr>
          <w:rFonts w:hint="eastAsia" w:ascii="仿宋_GB2312" w:hAnsi="仿宋_GB2312" w:eastAsia="仿宋_GB2312"/>
          <w:color w:val="auto"/>
          <w:kern w:val="0"/>
          <w:sz w:val="32"/>
          <w:lang w:val="en-US" w:eastAsia="zh-CN"/>
        </w:rPr>
        <w:t>（5）负责区内基础设施的建设和维护管理工作。</w:t>
      </w:r>
    </w:p>
    <w:p>
      <w:pPr>
        <w:keepNext/>
        <w:keepLines/>
        <w:pageBreakBefore w:val="0"/>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olor w:val="auto"/>
          <w:spacing w:val="-6"/>
          <w:kern w:val="0"/>
          <w:sz w:val="32"/>
          <w:lang w:val="en-US" w:eastAsia="zh-CN"/>
        </w:rPr>
      </w:pPr>
      <w:r>
        <w:rPr>
          <w:rFonts w:hint="eastAsia" w:ascii="仿宋_GB2312" w:hAnsi="仿宋_GB2312" w:eastAsia="仿宋_GB2312"/>
          <w:color w:val="auto"/>
          <w:spacing w:val="-6"/>
          <w:kern w:val="0"/>
          <w:sz w:val="32"/>
          <w:lang w:val="en-US" w:eastAsia="zh-CN"/>
        </w:rPr>
        <w:t>（6）负责区内的综合、信息、统计及国有资产管理等工作。</w:t>
      </w:r>
    </w:p>
    <w:p>
      <w:pPr>
        <w:keepNext/>
        <w:keepLines/>
        <w:pageBreakBefore w:val="0"/>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Times New Roman" w:hAnsi="Times New Roman" w:eastAsia="仿宋_GB2312" w:cs="仿宋_GB2312"/>
          <w:sz w:val="32"/>
          <w:szCs w:val="32"/>
        </w:rPr>
      </w:pPr>
      <w:r>
        <w:rPr>
          <w:rFonts w:hint="eastAsia" w:ascii="仿宋_GB2312" w:hAnsi="仿宋_GB2312" w:eastAsia="仿宋_GB2312"/>
          <w:color w:val="auto"/>
          <w:kern w:val="0"/>
          <w:sz w:val="32"/>
          <w:lang w:val="en-US" w:eastAsia="zh-CN"/>
        </w:rPr>
        <w:t>（7）完成市委、市人民政府交办的其他事项。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（一）内设机构设置。</w:t>
      </w:r>
      <w:r>
        <w:rPr>
          <w:rFonts w:hint="eastAsia" w:ascii="仿宋_GB2312" w:hAnsi="仿宋_GB2312" w:eastAsia="仿宋_GB2312" w:cs="仿宋_GB2312"/>
          <w:color w:val="333333"/>
          <w:sz w:val="32"/>
          <w:szCs w:val="32"/>
        </w:rPr>
        <w:t>岳阳城陵矶综合保税区管理委员会内设机构包括：</w:t>
      </w:r>
      <w:r>
        <w:rPr>
          <w:rFonts w:hint="eastAsia" w:ascii="仿宋_GB2312" w:hAnsi="仿宋_GB2312" w:eastAsia="仿宋_GB2312" w:cs="仿宋_GB2312"/>
          <w:color w:val="auto"/>
          <w:kern w:val="0"/>
          <w:sz w:val="32"/>
          <w:lang w:val="en-US" w:eastAsia="zh-CN"/>
        </w:rPr>
        <w:t>保税事务部、经济发展部、企业服务部、口岸贸易部。</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rPr>
        <w:t>决算单位构成</w:t>
      </w:r>
      <w:r>
        <w:rPr>
          <w:rFonts w:hint="eastAsia" w:ascii="仿宋_GB2312" w:hAnsi="仿宋_GB2312" w:eastAsia="仿宋_GB2312" w:cs="仿宋_GB2312"/>
          <w:bCs/>
          <w:kern w:val="0"/>
          <w:sz w:val="32"/>
          <w:szCs w:val="32"/>
          <w:lang w:eastAsia="zh-CN"/>
        </w:rPr>
        <w:t>。本部门无独立核算的下属单位，</w:t>
      </w:r>
      <w:r>
        <w:rPr>
          <w:rFonts w:hint="eastAsia" w:ascii="仿宋_GB2312" w:hAnsi="仿宋_GB2312" w:eastAsia="仿宋_GB2312" w:cs="仿宋_GB2312"/>
          <w:color w:val="auto"/>
          <w:kern w:val="0"/>
          <w:sz w:val="32"/>
          <w:szCs w:val="32"/>
          <w:lang w:val="en-US" w:eastAsia="zh-CN" w:bidi="ar"/>
        </w:rPr>
        <w:t>2023年度部门决算汇总公开单位仅包含岳阳城陵矶综合保税区管理委员会部门本级。</w:t>
      </w:r>
    </w:p>
    <w:p/>
    <w:p>
      <w:pPr>
        <w:pStyle w:val="11"/>
      </w:pPr>
    </w:p>
    <w:p>
      <w:pPr>
        <w:pStyle w:val="8"/>
      </w:pPr>
    </w:p>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6"/>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6"/>
        <w:jc w:val="center"/>
        <w:rPr>
          <w:rFonts w:hint="eastAsia" w:ascii="仿宋_GB2312" w:hAnsi="仿宋_GB2312" w:eastAsia="仿宋_GB2312" w:cs="仿宋_GB2312"/>
          <w:b w:val="0"/>
          <w:bCs w:val="0"/>
          <w:sz w:val="72"/>
          <w:szCs w:val="72"/>
          <w:lang w:eastAsia="zh-CN"/>
        </w:rPr>
      </w:pPr>
    </w:p>
    <w:p>
      <w:pPr>
        <w:pStyle w:val="16"/>
        <w:jc w:val="center"/>
        <w:rPr>
          <w:rFonts w:hint="eastAsia" w:ascii="仿宋_GB2312" w:hAnsi="仿宋_GB2312" w:eastAsia="仿宋_GB2312" w:cs="仿宋_GB2312"/>
          <w:b w:val="0"/>
          <w:bCs w:val="0"/>
          <w:sz w:val="72"/>
          <w:szCs w:val="72"/>
          <w:lang w:eastAsia="zh-CN"/>
        </w:rPr>
      </w:pPr>
    </w:p>
    <w:p>
      <w:pPr>
        <w:pStyle w:val="16"/>
        <w:jc w:val="center"/>
        <w:rPr>
          <w:rFonts w:hint="eastAsia" w:ascii="仿宋_GB2312" w:hAnsi="仿宋_GB2312" w:eastAsia="仿宋_GB2312" w:cs="仿宋_GB2312"/>
          <w:b w:val="0"/>
          <w:bCs w:val="0"/>
          <w:sz w:val="72"/>
          <w:szCs w:val="72"/>
          <w:lang w:eastAsia="zh-CN"/>
        </w:rPr>
      </w:pPr>
    </w:p>
    <w:p>
      <w:pPr>
        <w:pStyle w:val="16"/>
        <w:jc w:val="center"/>
        <w:rPr>
          <w:rFonts w:hint="eastAsia" w:ascii="仿宋_GB2312" w:hAnsi="仿宋_GB2312" w:eastAsia="仿宋_GB2312" w:cs="仿宋_GB2312"/>
          <w:b w:val="0"/>
          <w:bCs w:val="0"/>
          <w:sz w:val="72"/>
          <w:szCs w:val="72"/>
          <w:lang w:eastAsia="zh-CN"/>
        </w:rPr>
      </w:pPr>
    </w:p>
    <w:p>
      <w:pPr>
        <w:pStyle w:val="16"/>
        <w:jc w:val="center"/>
        <w:rPr>
          <w:rFonts w:hint="eastAsia" w:ascii="仿宋_GB2312" w:hAnsi="仿宋_GB2312" w:eastAsia="仿宋_GB2312" w:cs="仿宋_GB2312"/>
          <w:b w:val="0"/>
          <w:bCs w:val="0"/>
          <w:sz w:val="72"/>
          <w:szCs w:val="72"/>
          <w:lang w:eastAsia="zh-CN"/>
        </w:rPr>
      </w:pPr>
    </w:p>
    <w:p>
      <w:pPr>
        <w:pStyle w:val="16"/>
        <w:jc w:val="center"/>
        <w:rPr>
          <w:rFonts w:hint="eastAsia" w:ascii="仿宋_GB2312" w:hAnsi="仿宋_GB2312" w:eastAsia="仿宋_GB2312" w:cs="仿宋_GB2312"/>
          <w:b w:val="0"/>
          <w:bCs w:val="0"/>
          <w:sz w:val="72"/>
          <w:szCs w:val="72"/>
          <w:lang w:eastAsia="zh-CN"/>
        </w:rPr>
      </w:pPr>
    </w:p>
    <w:p>
      <w:pPr>
        <w:pStyle w:val="16"/>
        <w:jc w:val="both"/>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6"/>
        <w:jc w:val="center"/>
        <w:rPr>
          <w:rFonts w:hint="eastAsia" w:ascii="方正小标宋_GBK" w:hAnsi="方正小标宋_GBK" w:eastAsia="方正小标宋_GBK" w:cs="方正小标宋_GBK"/>
          <w:sz w:val="70"/>
          <w:szCs w:val="70"/>
        </w:rPr>
      </w:pPr>
    </w:p>
    <w:p>
      <w:pPr>
        <w:pStyle w:val="16"/>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pStyle w:val="16"/>
        <w:jc w:val="center"/>
        <w:rPr>
          <w:rFonts w:hint="eastAsia" w:ascii="方正小标宋_GBK" w:hAnsi="方正小标宋_GBK" w:eastAsia="方正小标宋_GBK" w:cs="方正小标宋_GBK"/>
          <w:sz w:val="70"/>
          <w:szCs w:val="70"/>
        </w:rPr>
      </w:pPr>
    </w:p>
    <w:p>
      <w:pPr>
        <w:pStyle w:val="16"/>
        <w:jc w:val="center"/>
        <w:rPr>
          <w:rFonts w:hint="eastAsia" w:ascii="方正小标宋_GBK" w:hAnsi="方正小标宋_GBK" w:eastAsia="方正小标宋_GBK" w:cs="方正小标宋_GBK"/>
          <w:sz w:val="70"/>
          <w:szCs w:val="70"/>
        </w:rPr>
      </w:pPr>
    </w:p>
    <w:p>
      <w:pPr>
        <w:pStyle w:val="16"/>
        <w:jc w:val="center"/>
        <w:rPr>
          <w:rFonts w:hint="eastAsia" w:ascii="方正小标宋_GBK" w:hAnsi="方正小标宋_GBK" w:eastAsia="方正小标宋_GBK" w:cs="方正小标宋_GBK"/>
          <w:sz w:val="70"/>
          <w:szCs w:val="70"/>
        </w:rPr>
      </w:pPr>
    </w:p>
    <w:p>
      <w:pPr>
        <w:pStyle w:val="16"/>
        <w:jc w:val="center"/>
        <w:rPr>
          <w:rFonts w:hint="eastAsia" w:ascii="方正小标宋_GBK" w:hAnsi="方正小标宋_GBK" w:eastAsia="方正小标宋_GBK" w:cs="方正小标宋_GBK"/>
          <w:sz w:val="70"/>
          <w:szCs w:val="70"/>
        </w:rPr>
      </w:pPr>
    </w:p>
    <w:p>
      <w:pPr>
        <w:pStyle w:val="16"/>
        <w:jc w:val="center"/>
        <w:rPr>
          <w:rFonts w:hint="eastAsia" w:ascii="方正小标宋_GBK" w:hAnsi="方正小标宋_GBK" w:eastAsia="方正小标宋_GBK" w:cs="方正小标宋_GBK"/>
          <w:sz w:val="70"/>
          <w:szCs w:val="70"/>
        </w:rPr>
      </w:pP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p>
    <w:p>
      <w:pPr>
        <w:widowControl/>
        <w:jc w:val="left"/>
        <w:rPr>
          <w:rFonts w:ascii="宋体" w:hAnsi="宋体" w:eastAsia="宋体"/>
          <w:sz w:val="32"/>
          <w:szCs w:val="32"/>
        </w:rPr>
      </w:pPr>
      <w:r>
        <w:rPr>
          <w:rFonts w:hint="eastAsia" w:ascii="仿宋_GB2312" w:hAnsi="仿宋_GB2312" w:eastAsia="仿宋_GB2312" w:cs="仿宋_GB2312"/>
          <w:sz w:val="32"/>
          <w:szCs w:val="32"/>
        </w:rPr>
        <w:t>（</w:t>
      </w:r>
      <w:r>
        <w:rPr>
          <w:rFonts w:hint="eastAsia" w:ascii="黑体" w:hAnsi="黑体" w:eastAsia="黑体" w:cs="黑体"/>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lang w:eastAsia="zh-CN"/>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238.79</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34.98</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17.16</w:t>
      </w:r>
      <w:r>
        <w:rPr>
          <w:rFonts w:hint="eastAsia" w:ascii="仿宋_GB2312" w:hAnsi="仿宋_GB2312" w:eastAsia="仿宋_GB2312" w:cs="仿宋_GB2312"/>
          <w:sz w:val="32"/>
          <w:szCs w:val="32"/>
        </w:rPr>
        <w:t>%，主要是因为202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年财政安排新增了</w:t>
      </w:r>
      <w:r>
        <w:rPr>
          <w:rFonts w:hint="eastAsia" w:ascii="仿宋_GB2312" w:hAnsi="仿宋_GB2312" w:eastAsia="仿宋_GB2312" w:cs="仿宋_GB2312"/>
          <w:sz w:val="32"/>
          <w:szCs w:val="32"/>
          <w:lang w:eastAsia="zh-CN"/>
        </w:rPr>
        <w:t>中餐</w:t>
      </w:r>
      <w:r>
        <w:rPr>
          <w:rFonts w:hint="eastAsia" w:ascii="仿宋_GB2312" w:hAnsi="仿宋_GB2312" w:eastAsia="仿宋_GB2312" w:cs="仿宋_GB2312"/>
          <w:sz w:val="32"/>
          <w:szCs w:val="32"/>
        </w:rPr>
        <w:t>补助、工会经费补助、物业补贴等支出。</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238.79</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238.79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238.79</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238.79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6"/>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238.79</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34.98</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17.16</w:t>
      </w:r>
      <w:r>
        <w:rPr>
          <w:rFonts w:hint="eastAsia" w:ascii="仿宋_GB2312" w:hAnsi="仿宋_GB2312" w:eastAsia="仿宋_GB2312" w:cs="仿宋_GB2312"/>
          <w:sz w:val="32"/>
          <w:szCs w:val="32"/>
        </w:rPr>
        <w:t>%，主要是因为202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年财政安排新增了</w:t>
      </w:r>
      <w:r>
        <w:rPr>
          <w:rFonts w:hint="eastAsia" w:ascii="仿宋_GB2312" w:hAnsi="仿宋_GB2312" w:eastAsia="仿宋_GB2312" w:cs="仿宋_GB2312"/>
          <w:sz w:val="32"/>
          <w:szCs w:val="32"/>
          <w:lang w:eastAsia="zh-CN"/>
        </w:rPr>
        <w:t>中餐</w:t>
      </w:r>
      <w:r>
        <w:rPr>
          <w:rFonts w:hint="eastAsia" w:ascii="仿宋_GB2312" w:hAnsi="仿宋_GB2312" w:eastAsia="仿宋_GB2312" w:cs="仿宋_GB2312"/>
          <w:sz w:val="32"/>
          <w:szCs w:val="32"/>
        </w:rPr>
        <w:t>补助、工会经费补助、物业补贴等支出。</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6"/>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pStyle w:val="16"/>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238.79</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34.98</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17.16</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年财政安排新增了</w:t>
      </w:r>
      <w:r>
        <w:rPr>
          <w:rFonts w:hint="eastAsia" w:ascii="仿宋_GB2312" w:hAnsi="仿宋_GB2312" w:eastAsia="仿宋_GB2312" w:cs="仿宋_GB2312"/>
          <w:sz w:val="32"/>
          <w:szCs w:val="32"/>
          <w:lang w:eastAsia="zh-CN"/>
        </w:rPr>
        <w:t>中餐</w:t>
      </w:r>
      <w:r>
        <w:rPr>
          <w:rFonts w:hint="eastAsia" w:ascii="仿宋_GB2312" w:hAnsi="仿宋_GB2312" w:eastAsia="仿宋_GB2312" w:cs="仿宋_GB2312"/>
          <w:sz w:val="32"/>
          <w:szCs w:val="32"/>
        </w:rPr>
        <w:t>补助、工会经费补助、物业补贴等支出。</w:t>
      </w:r>
    </w:p>
    <w:p>
      <w:pPr>
        <w:pStyle w:val="16"/>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6"/>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238.79</w:t>
      </w:r>
      <w:r>
        <w:rPr>
          <w:rFonts w:hint="eastAsia" w:ascii="仿宋_GB2312" w:hAnsi="仿宋_GB2312" w:eastAsia="仿宋_GB2312" w:cs="仿宋_GB2312"/>
          <w:sz w:val="32"/>
          <w:szCs w:val="32"/>
        </w:rPr>
        <w:t>万元，主要用于以下方面：一般公共服务（类）支出</w:t>
      </w:r>
      <w:r>
        <w:rPr>
          <w:rFonts w:hint="eastAsia" w:ascii="仿宋_GB2312" w:hAnsi="仿宋_GB2312" w:eastAsia="仿宋_GB2312" w:cs="仿宋_GB2312"/>
          <w:sz w:val="32"/>
          <w:szCs w:val="32"/>
          <w:lang w:val="en-US" w:eastAsia="zh-CN"/>
        </w:rPr>
        <w:t>180.65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75.65</w:t>
      </w: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21.46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8.99%</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14.73万元，占6.17%；商务服务业等（类）支出9万元，占3.77%；住房保障（类）支出12.95万元，占5.42%。</w:t>
      </w:r>
    </w:p>
    <w:p>
      <w:pPr>
        <w:pStyle w:val="16"/>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286.87</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238.79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83.24</w:t>
      </w:r>
      <w:r>
        <w:rPr>
          <w:rFonts w:hint="eastAsia" w:ascii="仿宋_GB2312" w:hAnsi="仿宋_GB2312" w:eastAsia="仿宋_GB2312" w:cs="仿宋_GB2312"/>
          <w:sz w:val="32"/>
          <w:szCs w:val="32"/>
        </w:rPr>
        <w:t>%，其中：</w:t>
      </w:r>
    </w:p>
    <w:p>
      <w:pPr>
        <w:pStyle w:val="16"/>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一般公共服务（类）政府办公厅（室）及相关机构事务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款）</w:t>
      </w:r>
      <w:r>
        <w:rPr>
          <w:rFonts w:hint="eastAsia" w:ascii="仿宋_GB2312" w:hAnsi="仿宋_GB2312" w:eastAsia="仿宋_GB2312" w:cs="仿宋_GB2312"/>
          <w:sz w:val="32"/>
          <w:szCs w:val="32"/>
          <w:lang w:eastAsia="zh-CN"/>
        </w:rPr>
        <w:t>事业运行（项）</w:t>
      </w:r>
      <w:r>
        <w:rPr>
          <w:rFonts w:hint="eastAsia" w:ascii="仿宋_GB2312" w:hAnsi="仿宋_GB2312" w:eastAsia="仿宋_GB2312" w:cs="仿宋_GB2312"/>
          <w:sz w:val="32"/>
          <w:szCs w:val="32"/>
        </w:rPr>
        <w:t>。</w:t>
      </w:r>
    </w:p>
    <w:p>
      <w:pPr>
        <w:pStyle w:val="16"/>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228.4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175.89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77</w:t>
      </w:r>
      <w:r>
        <w:rPr>
          <w:rFonts w:hint="eastAsia" w:ascii="仿宋_GB2312" w:hAnsi="仿宋_GB2312" w:eastAsia="仿宋_GB2312" w:cs="仿宋_GB2312"/>
          <w:sz w:val="32"/>
          <w:szCs w:val="32"/>
        </w:rPr>
        <w:t>%，决算数小于年初预算数的主要原因是：</w:t>
      </w:r>
      <w:r>
        <w:rPr>
          <w:rFonts w:hint="eastAsia" w:ascii="仿宋_GB2312" w:hAnsi="仿宋_GB2312" w:eastAsia="仿宋_GB2312" w:cs="仿宋_GB2312"/>
          <w:sz w:val="32"/>
          <w:szCs w:val="32"/>
          <w:lang w:eastAsia="zh-CN"/>
        </w:rPr>
        <w:t>部门在编在岗人员调整。</w:t>
      </w:r>
    </w:p>
    <w:p>
      <w:pPr>
        <w:pStyle w:val="16"/>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2、一般公共服务（类）</w:t>
      </w:r>
      <w:r>
        <w:rPr>
          <w:rFonts w:hint="eastAsia" w:ascii="仿宋_GB2312" w:hAnsi="仿宋_GB2312" w:eastAsia="仿宋_GB2312" w:cs="仿宋_GB2312"/>
          <w:sz w:val="32"/>
          <w:szCs w:val="32"/>
          <w:lang w:eastAsia="zh-CN"/>
        </w:rPr>
        <w:t>商贸事务（</w:t>
      </w:r>
      <w:r>
        <w:rPr>
          <w:rFonts w:hint="eastAsia" w:ascii="仿宋_GB2312" w:hAnsi="仿宋_GB2312" w:eastAsia="仿宋_GB2312" w:cs="仿宋_GB2312"/>
          <w:sz w:val="32"/>
          <w:szCs w:val="32"/>
          <w:lang w:val="en-US" w:eastAsia="zh-CN"/>
        </w:rPr>
        <w:t>款）</w:t>
      </w:r>
      <w:r>
        <w:rPr>
          <w:rFonts w:hint="eastAsia" w:ascii="仿宋_GB2312" w:hAnsi="仿宋_GB2312" w:eastAsia="仿宋_GB2312" w:cs="仿宋_GB2312"/>
          <w:sz w:val="32"/>
          <w:szCs w:val="32"/>
          <w:lang w:eastAsia="zh-CN"/>
        </w:rPr>
        <w:t>招商引资（项）</w:t>
      </w:r>
      <w:r>
        <w:rPr>
          <w:rFonts w:hint="eastAsia" w:ascii="仿宋_GB2312" w:hAnsi="仿宋_GB2312" w:eastAsia="仿宋_GB2312" w:cs="仿宋_GB2312"/>
          <w:sz w:val="32"/>
          <w:szCs w:val="32"/>
        </w:rPr>
        <w:t>。</w:t>
      </w:r>
    </w:p>
    <w:p>
      <w:pPr>
        <w:pStyle w:val="16"/>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4.76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由于预算数为</w:t>
      </w:r>
      <w:r>
        <w:rPr>
          <w:rFonts w:hint="eastAsia" w:ascii="仿宋_GB2312" w:hAnsi="仿宋_GB2312" w:eastAsia="仿宋_GB2312" w:cs="仿宋_GB2312"/>
          <w:color w:val="auto"/>
          <w:sz w:val="32"/>
          <w:szCs w:val="32"/>
          <w:lang w:val="en-US" w:eastAsia="zh-CN"/>
        </w:rPr>
        <w:t>0，无法计算百分比，</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大于</w:t>
      </w:r>
      <w:r>
        <w:rPr>
          <w:rFonts w:hint="eastAsia" w:ascii="仿宋_GB2312" w:hAnsi="仿宋_GB2312" w:eastAsia="仿宋_GB2312" w:cs="仿宋_GB2312"/>
          <w:sz w:val="32"/>
          <w:szCs w:val="32"/>
        </w:rPr>
        <w:t>年初预算数的主要原因是：</w:t>
      </w:r>
      <w:r>
        <w:rPr>
          <w:rFonts w:hint="eastAsia" w:ascii="Times New Roman" w:hAnsi="Times New Roman" w:eastAsia="仿宋_GB2312"/>
          <w:sz w:val="32"/>
          <w:szCs w:val="32"/>
        </w:rPr>
        <w:t>年中追加了相关指标</w:t>
      </w:r>
      <w:r>
        <w:rPr>
          <w:rFonts w:hint="eastAsia" w:ascii="仿宋_GB2312" w:hAnsi="仿宋_GB2312" w:eastAsia="仿宋_GB2312" w:cs="仿宋_GB2312"/>
          <w:sz w:val="32"/>
          <w:szCs w:val="32"/>
          <w:lang w:eastAsia="zh-CN"/>
        </w:rPr>
        <w:t>。</w:t>
      </w:r>
    </w:p>
    <w:p>
      <w:pPr>
        <w:pStyle w:val="16"/>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行政事业单位养老支出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机关事业单位基本养老保险缴费支出</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w:t>
      </w:r>
    </w:p>
    <w:p>
      <w:pPr>
        <w:pStyle w:val="16"/>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20.94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20.94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按照年初预算支付养老保</w:t>
      </w:r>
      <w:r>
        <w:rPr>
          <w:rFonts w:hint="eastAsia" w:ascii="仿宋_GB2312" w:hAnsi="仿宋_GB2312" w:eastAsia="仿宋_GB2312" w:cs="仿宋_GB2312"/>
          <w:color w:val="auto"/>
          <w:sz w:val="32"/>
          <w:szCs w:val="32"/>
          <w:lang w:eastAsia="zh-CN"/>
        </w:rPr>
        <w:t>险</w:t>
      </w:r>
      <w:r>
        <w:rPr>
          <w:rFonts w:hint="eastAsia" w:ascii="仿宋_GB2312" w:hAnsi="仿宋_GB2312" w:eastAsia="仿宋_GB2312" w:cs="仿宋_GB2312"/>
          <w:color w:val="auto"/>
          <w:sz w:val="32"/>
          <w:szCs w:val="32"/>
          <w:lang w:val="en-US" w:eastAsia="zh-CN"/>
        </w:rPr>
        <w:t>。</w:t>
      </w:r>
    </w:p>
    <w:p>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社会保障和就业支出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其他社会保障和就业支出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其他社会保障和就业支出</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w:t>
      </w:r>
    </w:p>
    <w:p>
      <w:pPr>
        <w:pStyle w:val="16"/>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0.63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0.52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82.54</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小于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部门在编在岗人员调整。</w:t>
      </w:r>
    </w:p>
    <w:p>
      <w:pPr>
        <w:pStyle w:val="16"/>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5、卫生健康支出（类）行政事业单位医疗（款）事业单位医疗（项）</w:t>
      </w:r>
    </w:p>
    <w:p>
      <w:pPr>
        <w:pStyle w:val="16"/>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16.45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14.73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89.54</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小于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部门在编在岗人员调整。</w:t>
      </w:r>
    </w:p>
    <w:p>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6、商业服务业等支出（类）涉外发展服务支出（款）其他</w:t>
      </w:r>
    </w:p>
    <w:p>
      <w:pPr>
        <w:pStyle w:val="16"/>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涉外发展服务支出（项）</w:t>
      </w:r>
    </w:p>
    <w:p>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由于预算数为</w:t>
      </w:r>
      <w:r>
        <w:rPr>
          <w:rFonts w:hint="eastAsia" w:ascii="仿宋_GB2312" w:hAnsi="仿宋_GB2312" w:eastAsia="仿宋_GB2312" w:cs="仿宋_GB2312"/>
          <w:color w:val="auto"/>
          <w:sz w:val="32"/>
          <w:szCs w:val="32"/>
          <w:lang w:val="en-US" w:eastAsia="zh-CN"/>
        </w:rPr>
        <w:t>0，无法计算百分比，</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大于</w:t>
      </w:r>
      <w:r>
        <w:rPr>
          <w:rFonts w:hint="eastAsia" w:ascii="仿宋_GB2312" w:hAnsi="仿宋_GB2312" w:eastAsia="仿宋_GB2312" w:cs="仿宋_GB2312"/>
          <w:sz w:val="32"/>
          <w:szCs w:val="32"/>
        </w:rPr>
        <w:t>年初预算数的主要原因是：</w:t>
      </w:r>
      <w:r>
        <w:rPr>
          <w:rFonts w:hint="eastAsia" w:ascii="Times New Roman" w:hAnsi="Times New Roman" w:eastAsia="仿宋_GB2312"/>
          <w:sz w:val="32"/>
          <w:szCs w:val="32"/>
        </w:rPr>
        <w:t>年中追加了相关指标</w:t>
      </w:r>
      <w:r>
        <w:rPr>
          <w:rFonts w:hint="eastAsia" w:ascii="仿宋_GB2312" w:hAnsi="仿宋_GB2312" w:eastAsia="仿宋_GB2312" w:cs="仿宋_GB2312"/>
          <w:sz w:val="32"/>
          <w:szCs w:val="32"/>
          <w:lang w:eastAsia="zh-CN"/>
        </w:rPr>
        <w:t>。</w:t>
      </w:r>
    </w:p>
    <w:p>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7、商业服务业等支出（类）其他涉外发展服务支出（款）其他商业服务业等支出（项）</w:t>
      </w:r>
    </w:p>
    <w:p>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由于预算数为</w:t>
      </w:r>
      <w:r>
        <w:rPr>
          <w:rFonts w:hint="eastAsia" w:ascii="仿宋_GB2312" w:hAnsi="仿宋_GB2312" w:eastAsia="仿宋_GB2312" w:cs="仿宋_GB2312"/>
          <w:color w:val="auto"/>
          <w:sz w:val="32"/>
          <w:szCs w:val="32"/>
          <w:lang w:val="en-US" w:eastAsia="zh-CN"/>
        </w:rPr>
        <w:t>0，无法计算百分比，</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大于</w:t>
      </w:r>
      <w:r>
        <w:rPr>
          <w:rFonts w:hint="eastAsia" w:ascii="仿宋_GB2312" w:hAnsi="仿宋_GB2312" w:eastAsia="仿宋_GB2312" w:cs="仿宋_GB2312"/>
          <w:sz w:val="32"/>
          <w:szCs w:val="32"/>
        </w:rPr>
        <w:t>年初预算数的主要原因是：</w:t>
      </w:r>
      <w:r>
        <w:rPr>
          <w:rFonts w:hint="eastAsia" w:ascii="Times New Roman" w:hAnsi="Times New Roman" w:eastAsia="仿宋_GB2312"/>
          <w:sz w:val="32"/>
          <w:szCs w:val="32"/>
        </w:rPr>
        <w:t>年中追加了相关指标</w:t>
      </w:r>
      <w:r>
        <w:rPr>
          <w:rFonts w:hint="eastAsia" w:ascii="仿宋_GB2312" w:hAnsi="仿宋_GB2312" w:eastAsia="仿宋_GB2312" w:cs="仿宋_GB2312"/>
          <w:sz w:val="32"/>
          <w:szCs w:val="32"/>
          <w:lang w:eastAsia="zh-CN"/>
        </w:rPr>
        <w:t>。</w:t>
      </w:r>
    </w:p>
    <w:p>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8、住房保障支出（类）住房改革支出（款）住房公积金（项）</w:t>
      </w:r>
    </w:p>
    <w:p>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年初预算为20.45万元，支出决算为12.95万元，完成年初</w:t>
      </w:r>
    </w:p>
    <w:p>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预算的63.33%，决算数小于年初预算数的主要原因是：部门人员基数调整。</w:t>
      </w:r>
    </w:p>
    <w:p>
      <w:pPr>
        <w:pStyle w:val="16"/>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238.79</w:t>
      </w:r>
      <w:r>
        <w:rPr>
          <w:rFonts w:hint="eastAsia" w:ascii="仿宋_GB2312" w:hAnsi="仿宋_GB2312" w:eastAsia="仿宋_GB2312" w:cs="仿宋_GB2312"/>
          <w:sz w:val="32"/>
          <w:szCs w:val="32"/>
        </w:rPr>
        <w:t>万元，其中：</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183.2</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76.72</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主要包括基本工资、津贴补贴、奖金、</w:t>
      </w:r>
      <w:r>
        <w:rPr>
          <w:rFonts w:hint="eastAsia" w:ascii="Times New Roman" w:hAnsi="Times New Roman" w:eastAsia="仿宋_GB2312"/>
          <w:sz w:val="32"/>
          <w:szCs w:val="32"/>
          <w:lang w:eastAsia="zh-CN"/>
        </w:rPr>
        <w:t>绩效工资、机关事业单位基本养老保险缴费、职业年金缴费、公务员医疗补助缴费、住房公积金、职工基本医疗保险缴费、其他社会保障缴费、医疗费等。</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55.59</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23.28</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主</w:t>
      </w:r>
      <w:r>
        <w:rPr>
          <w:rFonts w:hint="eastAsia" w:ascii="Times New Roman" w:hAnsi="Times New Roman" w:eastAsia="仿宋_GB2312"/>
          <w:sz w:val="32"/>
          <w:szCs w:val="32"/>
          <w:lang w:eastAsia="zh-CN"/>
        </w:rPr>
        <w:t>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16"/>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highlight w:val="none"/>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sz w:val="32"/>
          <w:szCs w:val="32"/>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2023年度国有资本经营预算财政拨款收入0万元；年初结转和结余0万；支出0万元；年末结转和结余0万元。</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6"/>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8.66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96.22</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我部门严格按预算执行决算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0.34</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3.77</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eastAsia="zh-CN"/>
        </w:rPr>
        <w:t>严格按照中央八项规定执行</w:t>
      </w:r>
      <w:r>
        <w:rPr>
          <w:rFonts w:hint="eastAsia" w:ascii="仿宋_GB2312" w:hAnsi="仿宋_GB2312" w:eastAsia="仿宋_GB2312" w:cs="仿宋_GB2312"/>
          <w:sz w:val="32"/>
          <w:szCs w:val="32"/>
        </w:rPr>
        <w:t>。其中：</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因公出国（境）费支出预算为0万元，支出决算为0万元，决算数等于预算数，主要原因是我单位严格按预算执行决算；与上年一致，无增减变动，主要原因是未安排因公出国（境）活动。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 xml:space="preserve">公务接待费支出预算为0万元，支出决算为0万元，决算数等于预算数，主要原因是严格执行中央八项规定；与上年一致，无增减变动，主要原因是按有关政策厉行节约，严控公务接待支出。  </w:t>
      </w:r>
    </w:p>
    <w:p>
      <w:pPr>
        <w:pStyle w:val="16"/>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公务用车购置费支出预算为0万元，支出决算为0万元，决算数等于预算数，主要原因是我单位严格按预算执行决算；与上年一致，无增减变动，主要原因是两年均未购置公务用车。</w:t>
      </w:r>
      <w:r>
        <w:rPr>
          <w:rFonts w:hint="eastAsia" w:ascii="仿宋_GB2312" w:hAnsi="仿宋_GB2312" w:eastAsia="仿宋_GB2312" w:cs="仿宋_GB2312"/>
          <w:b w:val="0"/>
          <w:bCs/>
          <w:color w:val="FF0000"/>
          <w:kern w:val="0"/>
          <w:sz w:val="32"/>
          <w:szCs w:val="32"/>
          <w:lang w:val="en-US" w:eastAsia="zh-CN" w:bidi="ar-SA"/>
        </w:rPr>
        <w:t xml:space="preserve"> </w:t>
      </w:r>
    </w:p>
    <w:p>
      <w:pPr>
        <w:pStyle w:val="16"/>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8.66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96.22</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b w:val="0"/>
          <w:bCs/>
          <w:color w:val="000000" w:themeColor="text1"/>
          <w:kern w:val="0"/>
          <w:sz w:val="32"/>
          <w:szCs w:val="32"/>
          <w:lang w:val="en-US" w:eastAsia="zh-CN" w:bidi="ar-SA"/>
          <w14:textFill>
            <w14:solidFill>
              <w14:schemeClr w14:val="tx1"/>
            </w14:solidFill>
          </w14:textFill>
        </w:rPr>
        <w:t>我部门严格按预算执行决算</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0.34</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3.77</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eastAsia="zh-CN"/>
        </w:rPr>
        <w:t>严格按照中央八项规定执行</w:t>
      </w:r>
      <w:r>
        <w:rPr>
          <w:rFonts w:hint="eastAsia" w:ascii="仿宋_GB2312" w:hAnsi="仿宋_GB2312" w:eastAsia="仿宋_GB2312" w:cs="仿宋_GB2312"/>
          <w:sz w:val="32"/>
          <w:szCs w:val="32"/>
        </w:rPr>
        <w:t>。</w:t>
      </w:r>
    </w:p>
    <w:p>
      <w:pPr>
        <w:pStyle w:val="16"/>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6"/>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lang w:val="en-US" w:eastAsia="zh-CN"/>
        </w:rPr>
        <w:t>2023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8.66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i/>
          <w:color w:val="auto"/>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因公出国（境）费支出决算为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，我部门</w:t>
      </w:r>
      <w:r>
        <w:rPr>
          <w:rFonts w:hint="eastAsia" w:ascii="仿宋_GB2312" w:hAnsi="仿宋_GB2312" w:eastAsia="仿宋_GB2312" w:cs="仿宋_GB2312"/>
          <w:sz w:val="32"/>
          <w:szCs w:val="32"/>
          <w:lang w:val="en-US" w:eastAsia="zh-CN"/>
        </w:rPr>
        <w:t>2023年度无</w:t>
      </w:r>
      <w:r>
        <w:rPr>
          <w:rFonts w:hint="eastAsia" w:ascii="仿宋_GB2312" w:hAnsi="仿宋_GB2312" w:eastAsia="仿宋_GB2312" w:cs="仿宋_GB2312"/>
          <w:sz w:val="32"/>
          <w:szCs w:val="32"/>
        </w:rPr>
        <w:t>因公出国（境）</w:t>
      </w:r>
      <w:r>
        <w:rPr>
          <w:rFonts w:hint="eastAsia" w:ascii="仿宋_GB2312" w:hAnsi="仿宋_GB2312" w:eastAsia="仿宋_GB2312" w:cs="仿宋_GB2312"/>
          <w:sz w:val="32"/>
          <w:szCs w:val="32"/>
          <w:lang w:eastAsia="zh-CN"/>
        </w:rPr>
        <w:t>费支出。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i/>
          <w:color w:val="auto"/>
          <w:sz w:val="32"/>
          <w:szCs w:val="32"/>
          <w:lang w:val="en-US" w:eastAsia="zh-CN"/>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，我部门</w:t>
      </w:r>
      <w:r>
        <w:rPr>
          <w:rFonts w:hint="eastAsia" w:ascii="仿宋_GB2312" w:hAnsi="仿宋_GB2312" w:eastAsia="仿宋_GB2312" w:cs="仿宋_GB2312"/>
          <w:sz w:val="32"/>
          <w:szCs w:val="32"/>
          <w:lang w:val="en-US" w:eastAsia="zh-CN"/>
        </w:rPr>
        <w:t>2023年度无</w:t>
      </w:r>
      <w:r>
        <w:rPr>
          <w:rFonts w:hint="eastAsia" w:ascii="仿宋_GB2312" w:hAnsi="仿宋_GB2312" w:eastAsia="仿宋_GB2312" w:cs="仿宋_GB2312"/>
          <w:sz w:val="32"/>
          <w:szCs w:val="32"/>
          <w:lang w:eastAsia="zh-CN"/>
        </w:rPr>
        <w:t>公务接待费支出。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highlight w:val="none"/>
          <w:lang w:eastAsia="zh-CN"/>
        </w:rPr>
        <w:t>岳阳城陵矶综合保税区管理委员会</w:t>
      </w:r>
      <w:r>
        <w:rPr>
          <w:rFonts w:hint="eastAsia" w:ascii="仿宋_GB2312" w:hAnsi="仿宋_GB2312" w:eastAsia="仿宋_GB2312" w:cs="仿宋_GB2312"/>
          <w:sz w:val="32"/>
          <w:szCs w:val="32"/>
          <w:highlight w:val="none"/>
        </w:rPr>
        <w:t>更新公务用车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sz w:val="32"/>
          <w:szCs w:val="32"/>
          <w:highlight w:val="none"/>
        </w:rPr>
        <w:t>公务用车</w:t>
      </w:r>
      <w:r>
        <w:rPr>
          <w:rFonts w:hint="eastAsia" w:ascii="仿宋_GB2312" w:hAnsi="仿宋_GB2312" w:eastAsia="仿宋_GB2312" w:cs="仿宋_GB2312"/>
          <w:sz w:val="32"/>
          <w:szCs w:val="32"/>
        </w:rPr>
        <w:t>运行维护费</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万元，主要是公务用车的燃料费、维修费、过桥过路费、保险费用等支出，截止202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开支财政拨款的公务用车保有量为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辆。</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十</w:t>
      </w:r>
      <w:r>
        <w:rPr>
          <w:rFonts w:hint="eastAsia" w:ascii="黑体" w:hAnsi="黑体" w:eastAsia="黑体" w:cs="黑体"/>
          <w:b w:val="0"/>
          <w:bCs/>
          <w:color w:val="auto"/>
          <w:sz w:val="32"/>
          <w:szCs w:val="32"/>
        </w:rPr>
        <w:t>、关于机关运行经费支出说明</w:t>
      </w:r>
    </w:p>
    <w:p>
      <w:pPr>
        <w:pStyle w:val="16"/>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55.59</w:t>
      </w:r>
      <w:r>
        <w:rPr>
          <w:rFonts w:hint="eastAsia" w:ascii="仿宋_GB2312" w:hAnsi="仿宋_GB2312" w:eastAsia="仿宋_GB2312" w:cs="仿宋_GB2312"/>
          <w:sz w:val="32"/>
          <w:szCs w:val="32"/>
        </w:rPr>
        <w:t>万元，比年初预算数增加</w:t>
      </w:r>
      <w:r>
        <w:rPr>
          <w:rFonts w:hint="eastAsia" w:ascii="仿宋_GB2312" w:hAnsi="仿宋_GB2312" w:eastAsia="仿宋_GB2312" w:cs="仿宋_GB2312"/>
          <w:sz w:val="32"/>
          <w:szCs w:val="32"/>
          <w:lang w:val="en-US" w:eastAsia="zh-CN"/>
        </w:rPr>
        <w:t>13.14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30.95</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招商任务重，差旅费、办公室适当增加。</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6"/>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2023年度，会议费年初预算0万元，支出决算为0万元，本部门无会议费的预算和支出决算数。</w:t>
      </w:r>
    </w:p>
    <w:p>
      <w:pPr>
        <w:pStyle w:val="16"/>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培训费年初预算0万元，支出决算为0万元，本部门无培训费的预算和支出决算数。</w:t>
      </w:r>
    </w:p>
    <w:p>
      <w:pPr>
        <w:pStyle w:val="16"/>
        <w:ind w:firstLine="640" w:firstLineChars="200"/>
        <w:rPr>
          <w:rFonts w:hint="eastAsia" w:ascii="楷体" w:hAnsi="楷体" w:eastAsia="楷体" w:cs="楷体"/>
          <w:b/>
          <w:bCs/>
          <w:i w:val="0"/>
          <w:iCs w:val="0"/>
          <w:color w:val="FF0000"/>
          <w:kern w:val="0"/>
          <w:sz w:val="40"/>
          <w:szCs w:val="40"/>
          <w:lang w:val="en-US" w:eastAsia="zh-CN" w:bidi="ar-SA"/>
        </w:rPr>
      </w:pPr>
      <w:r>
        <w:rPr>
          <w:rFonts w:hint="eastAsia" w:ascii="Times New Roman" w:hAnsi="Times New Roman" w:eastAsia="仿宋_GB2312"/>
          <w:sz w:val="32"/>
          <w:szCs w:val="32"/>
        </w:rPr>
        <w:t>举办节庆、晚会、论坛、赛事活动</w:t>
      </w:r>
      <w:r>
        <w:rPr>
          <w:rFonts w:hint="eastAsia" w:ascii="Times New Roman" w:hAnsi="Times New Roman" w:eastAsia="仿宋_GB2312"/>
          <w:sz w:val="32"/>
          <w:szCs w:val="32"/>
          <w:lang w:val="en-US" w:eastAsia="zh-CN"/>
        </w:rPr>
        <w:t>年初预算0万元，支出决算为0万元，本部门无举办节庆、晚会、论坛、赛事等活动的预算和支出决算数。</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i/>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本部门202</w:t>
      </w:r>
      <w:r>
        <w:rPr>
          <w:rFonts w:hint="eastAsia" w:ascii="Times New Roman" w:hAnsi="Times New Roman" w:eastAsia="仿宋_GB2312"/>
          <w:color w:val="000000" w:themeColor="text1"/>
          <w:sz w:val="32"/>
          <w:szCs w:val="32"/>
          <w:lang w:val="en-US" w:eastAsia="zh-CN"/>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年度政府采购支出总额</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万元，其中：政府采购货物支出</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 xml:space="preserve"> 万元、政府采购工程支出</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万元、政府采购服务支出</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万元。授予中小企业合同金额</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lang w:eastAsia="zh-CN"/>
          <w14:textFill>
            <w14:solidFill>
              <w14:schemeClr w14:val="tx1"/>
            </w14:solidFill>
          </w14:textFill>
        </w:rPr>
        <w:t>（由于</w:t>
      </w:r>
      <w:r>
        <w:rPr>
          <w:rFonts w:hint="eastAsia" w:ascii="Times New Roman" w:hAnsi="Times New Roman" w:eastAsia="仿宋_GB2312"/>
          <w:color w:val="000000" w:themeColor="text1"/>
          <w:sz w:val="32"/>
          <w:szCs w:val="32"/>
          <w14:textFill>
            <w14:solidFill>
              <w14:schemeClr w14:val="tx1"/>
            </w14:solidFill>
          </w14:textFill>
        </w:rPr>
        <w:t>政府采购支出总额</w:t>
      </w:r>
      <w:r>
        <w:rPr>
          <w:rFonts w:hint="eastAsia" w:ascii="Times New Roman" w:hAnsi="Times New Roman" w:eastAsia="仿宋_GB2312"/>
          <w:color w:val="000000" w:themeColor="text1"/>
          <w:sz w:val="32"/>
          <w:szCs w:val="32"/>
          <w:lang w:eastAsia="zh-CN"/>
          <w14:textFill>
            <w14:solidFill>
              <w14:schemeClr w14:val="tx1"/>
            </w14:solidFill>
          </w14:textFill>
        </w:rPr>
        <w:t>为</w:t>
      </w:r>
      <w:r>
        <w:rPr>
          <w:rFonts w:hint="eastAsia" w:ascii="Times New Roman" w:hAnsi="Times New Roman" w:eastAsia="仿宋_GB2312"/>
          <w:color w:val="000000" w:themeColor="text1"/>
          <w:sz w:val="32"/>
          <w:szCs w:val="32"/>
          <w:lang w:val="en-US" w:eastAsia="zh-CN"/>
          <w14:textFill>
            <w14:solidFill>
              <w14:schemeClr w14:val="tx1"/>
            </w14:solidFill>
          </w14:textFill>
        </w:rPr>
        <w:t>0，故无法计算</w:t>
      </w:r>
      <w:r>
        <w:rPr>
          <w:rFonts w:hint="eastAsia" w:ascii="Times New Roman" w:hAnsi="Times New Roman" w:eastAsia="仿宋_GB2312"/>
          <w:color w:val="000000" w:themeColor="text1"/>
          <w:sz w:val="32"/>
          <w:szCs w:val="32"/>
          <w14:textFill>
            <w14:solidFill>
              <w14:schemeClr w14:val="tx1"/>
            </w14:solidFill>
          </w14:textFill>
        </w:rPr>
        <w:t>占政府采购支出总额的</w:t>
      </w:r>
      <w:r>
        <w:rPr>
          <w:rFonts w:hint="eastAsia" w:ascii="Times New Roman" w:hAnsi="Times New Roman" w:eastAsia="仿宋_GB2312"/>
          <w:color w:val="000000" w:themeColor="text1"/>
          <w:sz w:val="32"/>
          <w:szCs w:val="32"/>
          <w:lang w:eastAsia="zh-CN"/>
          <w14:textFill>
            <w14:solidFill>
              <w14:schemeClr w14:val="tx1"/>
            </w14:solidFill>
          </w14:textFill>
        </w:rPr>
        <w:t>比重）</w:t>
      </w:r>
      <w:r>
        <w:rPr>
          <w:rFonts w:hint="eastAsia" w:ascii="Times New Roman" w:hAnsi="Times New Roman" w:eastAsia="仿宋_GB2312"/>
          <w:color w:val="000000" w:themeColor="text1"/>
          <w:sz w:val="32"/>
          <w:szCs w:val="32"/>
          <w14:textFill>
            <w14:solidFill>
              <w14:schemeClr w14:val="tx1"/>
            </w14:solidFill>
          </w14:textFill>
        </w:rPr>
        <w:t>，其中：授予小微企业合同金额</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lang w:eastAsia="zh-CN"/>
          <w14:textFill>
            <w14:solidFill>
              <w14:schemeClr w14:val="tx1"/>
            </w14:solidFill>
          </w14:textFill>
        </w:rPr>
        <w:t>（由于授予中小企业合同金额为</w:t>
      </w:r>
      <w:r>
        <w:rPr>
          <w:rFonts w:hint="eastAsia" w:ascii="Times New Roman" w:hAnsi="Times New Roman" w:eastAsia="仿宋_GB2312"/>
          <w:color w:val="000000" w:themeColor="text1"/>
          <w:sz w:val="32"/>
          <w:szCs w:val="32"/>
          <w:lang w:val="en-US" w:eastAsia="zh-CN"/>
          <w14:textFill>
            <w14:solidFill>
              <w14:schemeClr w14:val="tx1"/>
            </w14:solidFill>
          </w14:textFill>
        </w:rPr>
        <w:t>0，故无法计算</w:t>
      </w:r>
      <w:r>
        <w:rPr>
          <w:rFonts w:hint="eastAsia" w:ascii="Times New Roman" w:hAnsi="Times New Roman" w:eastAsia="仿宋_GB2312"/>
          <w:color w:val="000000" w:themeColor="text1"/>
          <w:sz w:val="32"/>
          <w:szCs w:val="32"/>
          <w14:textFill>
            <w14:solidFill>
              <w14:schemeClr w14:val="tx1"/>
            </w14:solidFill>
          </w14:textFill>
        </w:rPr>
        <w:t>占</w:t>
      </w:r>
      <w:r>
        <w:rPr>
          <w:rFonts w:hint="eastAsia" w:ascii="Times New Roman" w:hAnsi="Times New Roman" w:eastAsia="仿宋_GB2312"/>
          <w:color w:val="000000" w:themeColor="text1"/>
          <w:sz w:val="32"/>
          <w:szCs w:val="32"/>
          <w:lang w:eastAsia="zh-CN"/>
          <w14:textFill>
            <w14:solidFill>
              <w14:schemeClr w14:val="tx1"/>
            </w14:solidFill>
          </w14:textFill>
        </w:rPr>
        <w:t>授予中小企业合同金额</w:t>
      </w:r>
      <w:r>
        <w:rPr>
          <w:rFonts w:hint="eastAsia" w:ascii="Times New Roman" w:hAnsi="Times New Roman" w:eastAsia="仿宋_GB2312"/>
          <w:color w:val="000000" w:themeColor="text1"/>
          <w:sz w:val="32"/>
          <w:szCs w:val="32"/>
          <w14:textFill>
            <w14:solidFill>
              <w14:schemeClr w14:val="tx1"/>
            </w14:solidFill>
          </w14:textFill>
        </w:rPr>
        <w:t>的</w:t>
      </w:r>
      <w:r>
        <w:rPr>
          <w:rFonts w:hint="eastAsia" w:ascii="Times New Roman" w:hAnsi="Times New Roman" w:eastAsia="仿宋_GB2312"/>
          <w:color w:val="000000" w:themeColor="text1"/>
          <w:sz w:val="32"/>
          <w:szCs w:val="32"/>
          <w:lang w:eastAsia="zh-CN"/>
          <w14:textFill>
            <w14:solidFill>
              <w14:schemeClr w14:val="tx1"/>
            </w14:solidFill>
          </w14:textFill>
        </w:rPr>
        <w:t>比重）</w:t>
      </w:r>
      <w:r>
        <w:rPr>
          <w:rFonts w:hint="eastAsia" w:ascii="Times New Roman" w:hAnsi="Times New Roman" w:eastAsia="仿宋_GB2312"/>
          <w:color w:val="000000" w:themeColor="text1"/>
          <w:sz w:val="32"/>
          <w:szCs w:val="32"/>
          <w14:textFill>
            <w14:solidFill>
              <w14:schemeClr w14:val="tx1"/>
            </w14:solidFill>
          </w14:textFill>
        </w:rPr>
        <w:t>。货物采购授予中小企业合同金额占货物支出金额的</w:t>
      </w:r>
      <w:r>
        <w:rPr>
          <w:rFonts w:hint="eastAsia" w:ascii="Times New Roman" w:hAnsi="Times New Roman" w:eastAsia="仿宋_GB2312"/>
          <w:color w:val="000000" w:themeColor="text1"/>
          <w:sz w:val="32"/>
          <w:szCs w:val="32"/>
          <w:lang w:eastAsia="zh-CN"/>
          <w14:textFill>
            <w14:solidFill>
              <w14:schemeClr w14:val="tx1"/>
            </w14:solidFill>
          </w14:textFill>
        </w:rPr>
        <w:t>比重</w:t>
      </w:r>
      <w:r>
        <w:rPr>
          <w:rFonts w:hint="eastAsia" w:ascii="Times New Roman" w:hAnsi="Times New Roman" w:eastAsia="仿宋_GB2312"/>
          <w:color w:val="000000" w:themeColor="text1"/>
          <w:sz w:val="32"/>
          <w:szCs w:val="32"/>
          <w14:textFill>
            <w14:solidFill>
              <w14:schemeClr w14:val="tx1"/>
            </w14:solidFill>
          </w14:textFill>
        </w:rPr>
        <w:t>，工程采购授予中小企业合同金额占工程支出金额的</w:t>
      </w:r>
      <w:r>
        <w:rPr>
          <w:rFonts w:hint="eastAsia" w:ascii="Times New Roman" w:hAnsi="Times New Roman" w:eastAsia="仿宋_GB2312"/>
          <w:color w:val="000000" w:themeColor="text1"/>
          <w:sz w:val="32"/>
          <w:szCs w:val="32"/>
          <w:lang w:eastAsia="zh-CN"/>
          <w14:textFill>
            <w14:solidFill>
              <w14:schemeClr w14:val="tx1"/>
            </w14:solidFill>
          </w14:textFill>
        </w:rPr>
        <w:t>比重</w:t>
      </w:r>
      <w:r>
        <w:rPr>
          <w:rFonts w:hint="eastAsia" w:ascii="Times New Roman" w:hAnsi="Times New Roman" w:eastAsia="仿宋_GB2312"/>
          <w:color w:val="000000" w:themeColor="text1"/>
          <w:sz w:val="32"/>
          <w:szCs w:val="32"/>
          <w14:textFill>
            <w14:solidFill>
              <w14:schemeClr w14:val="tx1"/>
            </w14:solidFill>
          </w14:textFill>
        </w:rPr>
        <w:t>，服务采购授予中小企业合同金额占服务支出金额的</w:t>
      </w:r>
      <w:r>
        <w:rPr>
          <w:rFonts w:hint="eastAsia" w:ascii="Times New Roman" w:hAnsi="Times New Roman" w:eastAsia="仿宋_GB2312"/>
          <w:color w:val="000000" w:themeColor="text1"/>
          <w:sz w:val="32"/>
          <w:szCs w:val="32"/>
          <w:lang w:eastAsia="zh-CN"/>
          <w14:textFill>
            <w14:solidFill>
              <w14:schemeClr w14:val="tx1"/>
            </w14:solidFill>
          </w14:textFill>
        </w:rPr>
        <w:t>比重，由于以上各项合同金额为</w:t>
      </w:r>
      <w:r>
        <w:rPr>
          <w:rFonts w:hint="eastAsia" w:ascii="Times New Roman" w:hAnsi="Times New Roman" w:eastAsia="仿宋_GB2312"/>
          <w:color w:val="000000" w:themeColor="text1"/>
          <w:sz w:val="32"/>
          <w:szCs w:val="32"/>
          <w:lang w:val="en-US" w:eastAsia="zh-CN"/>
          <w14:textFill>
            <w14:solidFill>
              <w14:schemeClr w14:val="tx1"/>
            </w14:solidFill>
          </w14:textFill>
        </w:rPr>
        <w:t>0，故无法计算各项占比</w:t>
      </w:r>
      <w:r>
        <w:rPr>
          <w:rFonts w:hint="eastAsia" w:ascii="Times New Roman" w:hAnsi="Times New Roman" w:eastAsia="仿宋_GB2312"/>
          <w:color w:val="000000" w:themeColor="text1"/>
          <w:sz w:val="32"/>
          <w:szCs w:val="32"/>
          <w14:textFill>
            <w14:solidFill>
              <w14:schemeClr w14:val="tx1"/>
            </w14:solidFill>
          </w14:textFill>
        </w:rPr>
        <w:t>。</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本部门</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0辆</w:t>
      </w:r>
      <w:r>
        <w:rPr>
          <w:rFonts w:hint="eastAsia" w:ascii="仿宋_GB2312" w:hAnsi="仿宋_GB2312" w:eastAsia="仿宋_GB2312" w:cs="仿宋_GB2312"/>
          <w:color w:val="auto"/>
          <w:sz w:val="32"/>
          <w:szCs w:val="32"/>
        </w:rPr>
        <w:t>；单位价值100万元以上设备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pPr>
        <w:pStyle w:val="16"/>
        <w:keepNext w:val="0"/>
        <w:keepLines w:val="0"/>
        <w:pageBreakBefore w:val="0"/>
        <w:widowControl w:val="0"/>
        <w:numPr>
          <w:ilvl w:val="0"/>
          <w:numId w:val="3"/>
        </w:numPr>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（一）绩效管理工作开展情况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根据预算绩效管理要求，我们组织对2023年度整体支出和项目资金实施了全覆盖性的绩效评价，撰写了绩效自评报告。</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2023年我部门组织开展整体支出绩效评价，涉及一般公共预算支出238.79万元，政府性基金预算支出0万元，国有资本经营预算支出0万元。从评价情况来看，整体支出绩效评价中，2023年整体支出238.79万元，其中：基本支出238.79万元，项目支出0万元，本单位整体支出绩效自评综合评分93.69分，评价结果等次为优。</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组织对一般公共预算项目支出全面开展绩效自评，项目0个，共涉及资金0万元（由于一般公共预算项目支出总额为0，故无法计算占一般公共预算项目支出总额的比重）。组织对政府性基金预算项目支出开展绩效自评，项目0个，共涉及资金0万元（由于政府性基金预算项目支出总额为0，故无法计算占政府性基金预算项目支出总额的比重。）组织对国有资本经营预算项目支出开展绩效自评，项目0个，共涉及资金0万元（由于国有资本经营预算项目支出总额为0，故无法计算占国有资本经营预算项目支出总额的比重）。</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sz w:val="32"/>
          <w:szCs w:val="24"/>
          <w:highlight w:val="white"/>
          <w:lang w:val="en-US" w:eastAsia="zh-CN"/>
        </w:rPr>
      </w:pPr>
      <w:r>
        <w:rPr>
          <w:rFonts w:hint="eastAsia" w:ascii="仿宋_GB2312" w:hAnsi="仿宋_GB2312" w:eastAsia="仿宋_GB2312" w:cs="仿宋_GB2312"/>
          <w:sz w:val="32"/>
          <w:szCs w:val="24"/>
          <w:highlight w:val="white"/>
          <w:lang w:val="en-US" w:eastAsia="zh-CN"/>
        </w:rPr>
        <w:t>本单位无项目支出，未开展项目绩效自评，无项目绩效自评结果。</w:t>
      </w:r>
    </w:p>
    <w:p>
      <w:pPr>
        <w:pStyle w:val="16"/>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640"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部门</w:t>
      </w:r>
      <w:r>
        <w:rPr>
          <w:rFonts w:hint="eastAsia" w:ascii="楷体_GB2312" w:hAnsi="楷体_GB2312" w:eastAsia="楷体_GB2312" w:cs="楷体_GB2312"/>
          <w:b/>
          <w:bCs/>
          <w:sz w:val="32"/>
          <w:szCs w:val="32"/>
          <w:lang w:eastAsia="zh-CN"/>
        </w:rPr>
        <w:t>（单位）</w:t>
      </w:r>
      <w:r>
        <w:rPr>
          <w:rFonts w:hint="eastAsia" w:ascii="楷体_GB2312" w:hAnsi="楷体_GB2312" w:eastAsia="楷体_GB2312" w:cs="楷体_GB2312"/>
          <w:b/>
          <w:bCs/>
          <w:sz w:val="32"/>
          <w:szCs w:val="32"/>
        </w:rPr>
        <w:t>整体支出绩效情况</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sz w:val="32"/>
          <w:szCs w:val="24"/>
          <w:highlight w:val="white"/>
          <w:lang w:val="en-US" w:eastAsia="zh-CN"/>
        </w:rPr>
      </w:pPr>
      <w:r>
        <w:rPr>
          <w:rFonts w:hint="eastAsia" w:ascii="仿宋_GB2312" w:hAnsi="仿宋_GB2312" w:eastAsia="仿宋_GB2312" w:cs="仿宋_GB2312"/>
          <w:sz w:val="32"/>
          <w:szCs w:val="24"/>
          <w:highlight w:val="white"/>
          <w:lang w:val="en-US" w:eastAsia="zh-CN"/>
        </w:rPr>
        <w:t>本单位无项目支出，未开展项目绩效自评，无项目绩效自评结果。</w:t>
      </w:r>
    </w:p>
    <w:p>
      <w:pPr>
        <w:spacing w:line="60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24"/>
          <w:highlight w:val="white"/>
        </w:rPr>
        <w:t>202</w:t>
      </w:r>
      <w:r>
        <w:rPr>
          <w:rFonts w:hint="eastAsia" w:ascii="仿宋_GB2312" w:hAnsi="仿宋_GB2312" w:eastAsia="仿宋_GB2312" w:cs="仿宋_GB2312"/>
          <w:sz w:val="32"/>
          <w:szCs w:val="24"/>
          <w:highlight w:val="white"/>
          <w:lang w:val="en-US" w:eastAsia="zh-CN"/>
        </w:rPr>
        <w:t>3</w:t>
      </w:r>
      <w:r>
        <w:rPr>
          <w:rFonts w:hint="eastAsia" w:ascii="仿宋_GB2312" w:hAnsi="仿宋_GB2312" w:eastAsia="仿宋_GB2312" w:cs="仿宋_GB2312"/>
          <w:sz w:val="32"/>
          <w:szCs w:val="24"/>
          <w:highlight w:val="white"/>
        </w:rPr>
        <w:t>年度本部门绩效任务</w:t>
      </w:r>
      <w:r>
        <w:rPr>
          <w:rFonts w:hint="eastAsia" w:ascii="仿宋_GB2312" w:hAnsi="仿宋_GB2312" w:eastAsia="仿宋_GB2312" w:cs="仿宋_GB2312"/>
          <w:sz w:val="32"/>
          <w:szCs w:val="24"/>
          <w:highlight w:val="white"/>
          <w:lang w:eastAsia="zh-CN"/>
        </w:rPr>
        <w:t>得到</w:t>
      </w:r>
      <w:r>
        <w:rPr>
          <w:rFonts w:hint="eastAsia" w:ascii="仿宋_GB2312" w:hAnsi="仿宋_GB2312" w:eastAsia="仿宋_GB2312" w:cs="仿宋_GB2312"/>
          <w:sz w:val="32"/>
          <w:szCs w:val="24"/>
          <w:highlight w:val="white"/>
        </w:rPr>
        <w:t>有效执行，三公经费</w:t>
      </w:r>
      <w:r>
        <w:rPr>
          <w:rFonts w:hint="eastAsia" w:ascii="仿宋_GB2312" w:hAnsi="仿宋_GB2312" w:eastAsia="仿宋_GB2312" w:cs="仿宋_GB2312"/>
          <w:sz w:val="32"/>
          <w:szCs w:val="24"/>
          <w:highlight w:val="white"/>
          <w:lang w:eastAsia="zh-CN"/>
        </w:rPr>
        <w:t>得到</w:t>
      </w:r>
      <w:r>
        <w:rPr>
          <w:rFonts w:hint="eastAsia" w:ascii="仿宋_GB2312" w:hAnsi="仿宋_GB2312" w:eastAsia="仿宋_GB2312" w:cs="仿宋_GB2312"/>
          <w:sz w:val="32"/>
          <w:szCs w:val="24"/>
          <w:highlight w:val="white"/>
        </w:rPr>
        <w:t>有效控制，行政效率</w:t>
      </w:r>
      <w:r>
        <w:rPr>
          <w:rFonts w:hint="eastAsia" w:ascii="仿宋_GB2312" w:hAnsi="仿宋_GB2312" w:eastAsia="仿宋_GB2312" w:cs="仿宋_GB2312"/>
          <w:sz w:val="32"/>
          <w:szCs w:val="24"/>
          <w:highlight w:val="white"/>
          <w:lang w:eastAsia="zh-CN"/>
        </w:rPr>
        <w:t>得到</w:t>
      </w:r>
      <w:r>
        <w:rPr>
          <w:rFonts w:hint="eastAsia" w:ascii="仿宋_GB2312" w:hAnsi="仿宋_GB2312" w:eastAsia="仿宋_GB2312" w:cs="仿宋_GB2312"/>
          <w:sz w:val="32"/>
          <w:szCs w:val="24"/>
          <w:highlight w:val="white"/>
        </w:rPr>
        <w:t>有效提</w:t>
      </w:r>
      <w:r>
        <w:rPr>
          <w:rFonts w:hint="eastAsia" w:ascii="仿宋_GB2312" w:hAnsi="仿宋_GB2312" w:eastAsia="仿宋_GB2312" w:cs="仿宋_GB2312"/>
          <w:sz w:val="32"/>
          <w:szCs w:val="24"/>
          <w:highlight w:val="white"/>
          <w:lang w:eastAsia="zh-CN"/>
        </w:rPr>
        <w:t>升</w:t>
      </w:r>
      <w:r>
        <w:rPr>
          <w:rFonts w:hint="eastAsia" w:ascii="仿宋_GB2312" w:hAnsi="仿宋_GB2312" w:eastAsia="仿宋_GB2312" w:cs="仿宋_GB2312"/>
          <w:sz w:val="32"/>
          <w:szCs w:val="24"/>
          <w:highlight w:val="white"/>
        </w:rPr>
        <w:t>。</w:t>
      </w: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根据年初设定的绩效目标，绩效自评得分为93.69 分。全年预算数为286.87万元</w:t>
      </w:r>
      <w:r>
        <w:rPr>
          <w:rFonts w:hint="eastAsia" w:ascii="仿宋_GB2312" w:hAnsi="仿宋_GB2312" w:eastAsia="仿宋_GB2312" w:cs="仿宋_GB2312"/>
          <w:sz w:val="32"/>
          <w:szCs w:val="24"/>
          <w:highlight w:val="white"/>
          <w:lang w:val="en-US" w:eastAsia="zh-CN"/>
        </w:rPr>
        <w:t>，执行数为238.79 万元，完成预算的83.24%。绩效目标完成情况：一是</w:t>
      </w:r>
      <w:r>
        <w:rPr>
          <w:rFonts w:hint="eastAsia" w:ascii="仿宋_GB2312" w:hAnsi="仿宋_GB2312" w:eastAsia="仿宋_GB2312" w:cs="仿宋_GB2312"/>
          <w:sz w:val="32"/>
          <w:szCs w:val="24"/>
          <w:highlight w:val="white"/>
        </w:rPr>
        <w:t>外贸质效稳步提升</w:t>
      </w:r>
      <w:r>
        <w:rPr>
          <w:rFonts w:hint="eastAsia" w:ascii="仿宋_GB2312" w:hAnsi="仿宋_GB2312" w:eastAsia="仿宋_GB2312" w:cs="仿宋_GB2312"/>
          <w:sz w:val="32"/>
          <w:szCs w:val="24"/>
          <w:highlight w:val="white"/>
          <w:lang w:eastAsia="zh-CN"/>
        </w:rPr>
        <w:t>。</w:t>
      </w:r>
      <w:r>
        <w:rPr>
          <w:rFonts w:hint="eastAsia" w:ascii="仿宋_GB2312" w:hAnsi="仿宋_GB2312" w:eastAsia="仿宋_GB2312" w:cs="仿宋_GB2312"/>
          <w:sz w:val="32"/>
          <w:szCs w:val="24"/>
          <w:highlight w:val="white"/>
          <w:lang w:val="en-US" w:eastAsia="zh-CN"/>
        </w:rPr>
        <w:t>2023年</w:t>
      </w:r>
      <w:r>
        <w:rPr>
          <w:rFonts w:hint="eastAsia" w:ascii="仿宋_GB2312" w:eastAsia="仿宋_GB2312"/>
          <w:sz w:val="32"/>
          <w:szCs w:val="32"/>
        </w:rPr>
        <w:t>综保区完成进出口贸易额</w:t>
      </w:r>
      <w:r>
        <w:rPr>
          <w:rFonts w:hint="eastAsia" w:ascii="仿宋_GB2312" w:eastAsia="仿宋_GB2312"/>
          <w:sz w:val="32"/>
          <w:szCs w:val="32"/>
          <w:lang w:val="en-US" w:eastAsia="zh-CN"/>
        </w:rPr>
        <w:t>493.5</w:t>
      </w:r>
      <w:r>
        <w:rPr>
          <w:rFonts w:hint="eastAsia" w:ascii="仿宋_GB2312" w:eastAsia="仿宋_GB2312"/>
          <w:sz w:val="32"/>
          <w:szCs w:val="32"/>
        </w:rPr>
        <w:t>亿，其中：进口</w:t>
      </w:r>
      <w:r>
        <w:rPr>
          <w:rFonts w:hint="eastAsia" w:ascii="仿宋_GB2312" w:eastAsia="仿宋_GB2312"/>
          <w:sz w:val="32"/>
          <w:szCs w:val="32"/>
          <w:lang w:val="en-US" w:eastAsia="zh-CN"/>
        </w:rPr>
        <w:t>421.3</w:t>
      </w:r>
      <w:r>
        <w:rPr>
          <w:rFonts w:hint="eastAsia" w:ascii="仿宋_GB2312" w:eastAsia="仿宋_GB2312"/>
          <w:sz w:val="32"/>
          <w:szCs w:val="32"/>
        </w:rPr>
        <w:t>亿元，出口</w:t>
      </w:r>
      <w:r>
        <w:rPr>
          <w:rFonts w:hint="eastAsia" w:ascii="仿宋_GB2312" w:eastAsia="仿宋_GB2312"/>
          <w:sz w:val="32"/>
          <w:szCs w:val="32"/>
          <w:lang w:val="en-US" w:eastAsia="zh-CN"/>
        </w:rPr>
        <w:t>72.2</w:t>
      </w:r>
      <w:r>
        <w:rPr>
          <w:rFonts w:hint="eastAsia" w:ascii="仿宋_GB2312" w:eastAsia="仿宋_GB2312"/>
          <w:sz w:val="32"/>
          <w:szCs w:val="32"/>
        </w:rPr>
        <w:t>亿元。</w:t>
      </w:r>
      <w:r>
        <w:rPr>
          <w:rFonts w:hint="eastAsia" w:ascii="仿宋_GB2312" w:eastAsia="仿宋_GB2312"/>
          <w:sz w:val="32"/>
          <w:szCs w:val="32"/>
          <w:lang w:eastAsia="zh-CN"/>
        </w:rPr>
        <w:t>二是口岸功能持续放大。进口木材指定口岸顺利运营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进境水果指定监管场地</w:t>
      </w:r>
      <w:r>
        <w:rPr>
          <w:rFonts w:hint="eastAsia" w:ascii="仿宋_GB2312" w:hAnsi="仿宋_GB2312" w:eastAsia="仿宋_GB2312" w:cs="仿宋_GB2312"/>
          <w:sz w:val="32"/>
          <w:szCs w:val="32"/>
          <w:lang w:eastAsia="zh-CN"/>
        </w:rPr>
        <w:t>成功</w:t>
      </w:r>
      <w:r>
        <w:rPr>
          <w:rFonts w:hint="eastAsia" w:ascii="仿宋_GB2312" w:hAnsi="仿宋_GB2312" w:eastAsia="仿宋_GB2312" w:cs="仿宋_GB2312"/>
          <w:sz w:val="32"/>
          <w:szCs w:val="32"/>
        </w:rPr>
        <w:t>建设与验收，岳阳正式迈入“三区一港五口岸”时代</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投融资进中提质。充分发挥区属</w:t>
      </w:r>
      <w:r>
        <w:rPr>
          <w:rFonts w:hint="eastAsia" w:ascii="仿宋_GB2312" w:hAnsi="仿宋_GB2312" w:eastAsia="仿宋_GB2312" w:cs="仿宋_GB2312"/>
          <w:sz w:val="32"/>
          <w:szCs w:val="32"/>
          <w:lang w:eastAsia="zh-CN"/>
        </w:rPr>
        <w:t>国有企业</w:t>
      </w:r>
      <w:r>
        <w:rPr>
          <w:rFonts w:hint="eastAsia" w:ascii="仿宋_GB2312" w:hAnsi="仿宋_GB2312" w:eastAsia="仿宋_GB2312" w:cs="仿宋_GB2312"/>
          <w:sz w:val="32"/>
          <w:szCs w:val="32"/>
        </w:rPr>
        <w:t>投融资平台的综合效应和产业基金的引导作用，为园区发展添动</w:t>
      </w:r>
      <w:r>
        <w:rPr>
          <w:rFonts w:hint="eastAsia" w:ascii="仿宋_GB2312" w:hAnsi="仿宋_GB2312" w:eastAsia="仿宋_GB2312" w:cs="仿宋_GB2312"/>
          <w:sz w:val="32"/>
          <w:szCs w:val="32"/>
          <w:lang w:eastAsia="zh-CN"/>
        </w:rPr>
        <w:t>能；四是</w:t>
      </w:r>
      <w:r>
        <w:rPr>
          <w:rFonts w:hint="eastAsia" w:ascii="仿宋_GB2312" w:hAnsi="仿宋_GB2312" w:eastAsia="仿宋_GB2312" w:cs="仿宋_GB2312"/>
          <w:sz w:val="32"/>
          <w:szCs w:val="32"/>
        </w:rPr>
        <w:t>项目建设扎实推进。</w:t>
      </w:r>
      <w:r>
        <w:rPr>
          <w:rFonts w:hint="eastAsia" w:ascii="仿宋" w:hAnsi="仿宋" w:eastAsia="仿宋" w:cs="仿宋"/>
          <w:sz w:val="32"/>
          <w:szCs w:val="32"/>
        </w:rPr>
        <w:t>9610查验场站</w:t>
      </w:r>
      <w:r>
        <w:rPr>
          <w:rFonts w:hint="eastAsia" w:ascii="仿宋" w:hAnsi="仿宋" w:eastAsia="仿宋" w:cs="仿宋"/>
          <w:sz w:val="32"/>
          <w:szCs w:val="32"/>
          <w:lang w:eastAsia="zh-CN"/>
        </w:rPr>
        <w:t>等跨境电商配套项目</w:t>
      </w:r>
      <w:r>
        <w:rPr>
          <w:rFonts w:hint="eastAsia" w:ascii="仿宋_GB2312" w:hAnsi="仿宋_GB2312" w:eastAsia="仿宋_GB2312" w:cs="仿宋_GB2312"/>
          <w:sz w:val="32"/>
          <w:szCs w:val="32"/>
          <w:lang w:eastAsia="zh-CN"/>
        </w:rPr>
        <w:t>升级改造完毕；</w:t>
      </w:r>
      <w:r>
        <w:rPr>
          <w:rFonts w:hint="eastAsia" w:ascii="仿宋_GB2312" w:hAnsi="仿宋_GB2312" w:eastAsia="仿宋_GB2312" w:cs="仿宋_GB2312"/>
          <w:sz w:val="32"/>
          <w:szCs w:val="32"/>
        </w:rPr>
        <w:t>集</w:t>
      </w:r>
      <w:r>
        <w:rPr>
          <w:rFonts w:hint="eastAsia" w:ascii="仿宋_GB2312" w:hAnsi="仿宋_GB2312" w:eastAsia="仿宋_GB2312" w:cs="仿宋_GB2312"/>
          <w:sz w:val="32"/>
          <w:szCs w:val="32"/>
          <w:lang w:eastAsia="zh-CN"/>
        </w:rPr>
        <w:t>平行进口汽车</w:t>
      </w:r>
      <w:r>
        <w:rPr>
          <w:rFonts w:hint="eastAsia" w:ascii="仿宋_GB2312" w:hAnsi="仿宋_GB2312" w:eastAsia="仿宋_GB2312" w:cs="仿宋_GB2312"/>
          <w:sz w:val="32"/>
          <w:szCs w:val="32"/>
        </w:rPr>
        <w:t>展示、销售、改装、维修、实验</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一体的观盛产贸融合创新园一期即将竣工验收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进口农产品仓储加工物流园项目</w:t>
      </w:r>
      <w:r>
        <w:rPr>
          <w:rFonts w:hint="eastAsia" w:ascii="仿宋_GB2312" w:hAnsi="仿宋_GB2312" w:eastAsia="仿宋_GB2312" w:cs="仿宋_GB2312"/>
          <w:sz w:val="32"/>
          <w:szCs w:val="32"/>
          <w:lang w:eastAsia="zh-CN"/>
        </w:rPr>
        <w:t>全面启动</w:t>
      </w:r>
      <w:r>
        <w:rPr>
          <w:rFonts w:hint="eastAsia" w:ascii="仿宋_GB2312" w:hAnsi="仿宋_GB2312" w:eastAsia="仿宋_GB2312" w:cs="仿宋_GB2312"/>
          <w:sz w:val="32"/>
          <w:szCs w:val="32"/>
        </w:rPr>
        <w:t>。</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存在的问题及原因分析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通过前述对我</w:t>
      </w:r>
      <w:r>
        <w:rPr>
          <w:rFonts w:hint="eastAsia" w:ascii="仿宋_GB2312" w:hAnsi="仿宋_GB2312" w:eastAsia="仿宋_GB2312" w:cs="仿宋_GB2312"/>
          <w:bCs/>
          <w:sz w:val="32"/>
          <w:szCs w:val="32"/>
          <w:lang w:eastAsia="zh-CN"/>
        </w:rPr>
        <w:t>部门</w:t>
      </w:r>
      <w:r>
        <w:rPr>
          <w:rFonts w:hint="eastAsia" w:ascii="仿宋_GB2312" w:hAnsi="仿宋_GB2312" w:eastAsia="仿宋_GB2312" w:cs="仿宋_GB2312"/>
          <w:bCs/>
          <w:sz w:val="32"/>
          <w:szCs w:val="32"/>
        </w:rPr>
        <w:t>整体支出情况的分析，反映</w:t>
      </w:r>
      <w:bookmarkStart w:id="0" w:name="_GoBack"/>
      <w:r>
        <w:rPr>
          <w:rFonts w:hint="eastAsia" w:ascii="仿宋_GB2312" w:hAnsi="仿宋_GB2312" w:eastAsia="仿宋_GB2312" w:cs="仿宋_GB2312"/>
          <w:bCs/>
          <w:sz w:val="32"/>
          <w:szCs w:val="32"/>
        </w:rPr>
        <w:t>出</w:t>
      </w:r>
      <w:bookmarkEnd w:id="0"/>
      <w:r>
        <w:rPr>
          <w:rFonts w:hint="eastAsia" w:ascii="仿宋_GB2312" w:hAnsi="仿宋_GB2312" w:eastAsia="仿宋_GB2312" w:cs="仿宋_GB2312"/>
          <w:bCs/>
          <w:sz w:val="32"/>
          <w:szCs w:val="32"/>
        </w:rPr>
        <w:t>目前在整体支出的预算编制、执行和管理过程中，依然存在因部分工作不可预见性，有些支出无法</w:t>
      </w:r>
      <w:r>
        <w:rPr>
          <w:rFonts w:hint="eastAsia" w:ascii="仿宋_GB2312" w:hAnsi="仿宋_GB2312" w:eastAsia="仿宋_GB2312" w:cs="仿宋_GB2312"/>
          <w:bCs/>
          <w:sz w:val="32"/>
          <w:szCs w:val="32"/>
          <w:lang w:eastAsia="zh-CN"/>
        </w:rPr>
        <w:t>准确</w:t>
      </w:r>
      <w:r>
        <w:rPr>
          <w:rFonts w:hint="eastAsia" w:ascii="仿宋_GB2312" w:hAnsi="仿宋_GB2312" w:eastAsia="仿宋_GB2312" w:cs="仿宋_GB2312"/>
          <w:bCs/>
          <w:sz w:val="32"/>
          <w:szCs w:val="32"/>
        </w:rPr>
        <w:t>纳入预算，导致预算执行存在偏差。针对这些不足，我</w:t>
      </w:r>
      <w:r>
        <w:rPr>
          <w:rFonts w:hint="eastAsia" w:ascii="仿宋_GB2312" w:hAnsi="仿宋_GB2312" w:eastAsia="仿宋_GB2312" w:cs="仿宋_GB2312"/>
          <w:bCs/>
          <w:sz w:val="32"/>
          <w:szCs w:val="32"/>
          <w:lang w:eastAsia="zh-CN"/>
        </w:rPr>
        <w:t>部门</w:t>
      </w:r>
      <w:r>
        <w:rPr>
          <w:rFonts w:hint="eastAsia" w:ascii="仿宋_GB2312" w:hAnsi="仿宋_GB2312" w:eastAsia="仿宋_GB2312" w:cs="仿宋_GB2312"/>
          <w:bCs/>
          <w:sz w:val="32"/>
          <w:szCs w:val="32"/>
        </w:rPr>
        <w:t>将积极采取改进措施，持续改进，不断规范和强化管理。</w:t>
      </w:r>
    </w:p>
    <w:p>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pPr>
        <w:pStyle w:val="16"/>
        <w:jc w:val="both"/>
        <w:rPr>
          <w:sz w:val="72"/>
          <w:szCs w:val="72"/>
        </w:rPr>
      </w:pPr>
    </w:p>
    <w:p>
      <w:pPr>
        <w:pStyle w:val="16"/>
        <w:jc w:val="center"/>
        <w:rPr>
          <w:sz w:val="72"/>
          <w:szCs w:val="72"/>
        </w:rPr>
      </w:pPr>
    </w:p>
    <w:p>
      <w:pPr>
        <w:pStyle w:val="16"/>
        <w:jc w:val="center"/>
        <w:rPr>
          <w:rFonts w:hint="eastAsia" w:ascii="方正小标宋_GBK" w:hAnsi="方正小标宋_GBK" w:eastAsia="方正小标宋_GBK" w:cs="方正小标宋_GBK"/>
          <w:sz w:val="70"/>
          <w:szCs w:val="70"/>
          <w:lang w:eastAsia="zh-CN"/>
        </w:rPr>
      </w:pPr>
    </w:p>
    <w:p>
      <w:pPr>
        <w:pStyle w:val="16"/>
        <w:jc w:val="center"/>
        <w:rPr>
          <w:rFonts w:hint="eastAsia" w:ascii="方正小标宋_GBK" w:hAnsi="方正小标宋_GBK" w:eastAsia="方正小标宋_GBK" w:cs="方正小标宋_GBK"/>
          <w:sz w:val="70"/>
          <w:szCs w:val="70"/>
          <w:lang w:eastAsia="zh-CN"/>
        </w:rPr>
      </w:pPr>
    </w:p>
    <w:p>
      <w:pPr>
        <w:pStyle w:val="16"/>
        <w:jc w:val="center"/>
        <w:rPr>
          <w:rFonts w:hint="eastAsia" w:ascii="方正小标宋_GBK" w:hAnsi="方正小标宋_GBK" w:eastAsia="方正小标宋_GBK" w:cs="方正小标宋_GBK"/>
          <w:sz w:val="72"/>
          <w:szCs w:val="72"/>
        </w:rPr>
      </w:pPr>
    </w:p>
    <w:p>
      <w:pPr>
        <w:pStyle w:val="16"/>
        <w:jc w:val="both"/>
        <w:rPr>
          <w:rFonts w:hint="eastAsia" w:ascii="方正小标宋_GBK" w:hAnsi="方正小标宋_GBK" w:eastAsia="方正小标宋_GBK" w:cs="方正小标宋_GBK"/>
          <w:sz w:val="72"/>
          <w:szCs w:val="72"/>
        </w:rPr>
      </w:pPr>
    </w:p>
    <w:p>
      <w:pPr>
        <w:pStyle w:val="16"/>
        <w:jc w:val="both"/>
        <w:rPr>
          <w:rFonts w:hint="eastAsia" w:ascii="方正小标宋_GBK" w:hAnsi="方正小标宋_GBK" w:eastAsia="方正小标宋_GBK" w:cs="方正小标宋_GBK"/>
          <w:sz w:val="72"/>
          <w:szCs w:val="72"/>
        </w:rPr>
      </w:pPr>
    </w:p>
    <w:p>
      <w:pPr>
        <w:pStyle w:val="16"/>
        <w:jc w:val="both"/>
        <w:rPr>
          <w:rFonts w:hint="eastAsia" w:ascii="方正小标宋_GBK" w:hAnsi="方正小标宋_GBK" w:eastAsia="方正小标宋_GBK" w:cs="方正小标宋_GBK"/>
          <w:sz w:val="72"/>
          <w:szCs w:val="72"/>
        </w:rPr>
      </w:pPr>
    </w:p>
    <w:p>
      <w:pPr>
        <w:pStyle w:val="16"/>
        <w:jc w:val="both"/>
        <w:rPr>
          <w:rFonts w:hint="eastAsia" w:ascii="方正小标宋_GBK" w:hAnsi="方正小标宋_GBK" w:eastAsia="方正小标宋_GBK" w:cs="方正小标宋_GBK"/>
          <w:sz w:val="72"/>
          <w:szCs w:val="72"/>
        </w:rPr>
      </w:pPr>
    </w:p>
    <w:p>
      <w:pPr>
        <w:pStyle w:val="16"/>
        <w:jc w:val="both"/>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kern w:val="0"/>
          <w:sz w:val="32"/>
          <w:szCs w:val="32"/>
        </w:rPr>
      </w:pPr>
      <w:r>
        <w:rPr>
          <w:rFonts w:hint="eastAsia" w:ascii="方正小标宋_GBK" w:hAnsi="方正小标宋_GBK" w:eastAsia="方正小标宋_GBK" w:cs="方正小标宋_GBK"/>
          <w:color w:val="000000"/>
          <w:kern w:val="0"/>
          <w:sz w:val="70"/>
          <w:szCs w:val="70"/>
        </w:rPr>
        <w:br w:type="page"/>
      </w:r>
      <w:r>
        <w:rPr>
          <w:rFonts w:hint="eastAsia" w:ascii="方正小标宋_GBK" w:hAnsi="方正小标宋_GBK" w:eastAsia="方正小标宋_GBK" w:cs="方正小标宋_GBK"/>
          <w:color w:val="000000"/>
          <w:kern w:val="0"/>
          <w:sz w:val="70"/>
          <w:szCs w:val="70"/>
          <w:lang w:val="en-US" w:eastAsia="zh-CN"/>
        </w:rPr>
        <w:t xml:space="preserve">  </w:t>
      </w:r>
      <w:r>
        <w:rPr>
          <w:rFonts w:hint="eastAsia" w:ascii="仿宋_GB2312" w:hAnsi="仿宋_GB2312" w:eastAsia="仿宋_GB2312" w:cs="仿宋_GB2312"/>
          <w:color w:val="000000"/>
          <w:kern w:val="0"/>
          <w:sz w:val="32"/>
          <w:szCs w:val="32"/>
        </w:rPr>
        <w:t>一、财政拨款收入：指本级财政当年拨付的资金。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二、</w:t>
      </w:r>
      <w:r>
        <w:rPr>
          <w:rFonts w:hint="eastAsia" w:ascii="仿宋_GB2312" w:hAnsi="仿宋_GB2312" w:eastAsia="仿宋_GB2312" w:cs="仿宋_GB2312"/>
          <w:color w:val="000000"/>
          <w:kern w:val="0"/>
          <w:sz w:val="32"/>
          <w:szCs w:val="32"/>
        </w:rPr>
        <w:t>年末结转和结余资金：指本年度或以前年度预算安排、因客观条件发生变化无法按原计划实施，需要延迟到以后年度按有关规定继续使用的资金。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color w:val="000000"/>
          <w:kern w:val="0"/>
          <w:sz w:val="32"/>
          <w:szCs w:val="32"/>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w:t>
      </w: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基本支出：指保障机构正常运转、完成支日常工作任务而发生的人员支出和公用支出。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五、</w:t>
      </w:r>
      <w:r>
        <w:rPr>
          <w:rFonts w:hint="eastAsia" w:ascii="仿宋_GB2312" w:hAnsi="仿宋_GB2312" w:eastAsia="仿宋_GB2312" w:cs="仿宋_GB2312"/>
          <w:color w:val="000000"/>
          <w:kern w:val="0"/>
          <w:sz w:val="32"/>
          <w:szCs w:val="32"/>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六、</w:t>
      </w:r>
      <w:r>
        <w:rPr>
          <w:rFonts w:hint="eastAsia" w:ascii="仿宋_GB2312" w:hAnsi="仿宋_GB2312" w:eastAsia="仿宋_GB2312" w:cs="仿宋_GB2312"/>
          <w:color w:val="000000"/>
          <w:kern w:val="0"/>
          <w:sz w:val="32"/>
          <w:szCs w:val="32"/>
        </w:rPr>
        <w:t>政府采购：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七、</w:t>
      </w:r>
      <w:r>
        <w:rPr>
          <w:rFonts w:hint="eastAsia" w:ascii="仿宋_GB2312" w:hAnsi="仿宋_GB2312" w:eastAsia="仿宋_GB2312" w:cs="仿宋_GB2312"/>
          <w:color w:val="000000"/>
          <w:kern w:val="0"/>
          <w:sz w:val="32"/>
          <w:szCs w:val="32"/>
        </w:rPr>
        <w:t>工资福利支出：反映单位开支的在职职工和编制外长期聘用人员的各类劳动报酬，以及为上述人员缴纳的各项社会保险费等。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八、</w:t>
      </w:r>
      <w:r>
        <w:rPr>
          <w:rFonts w:hint="eastAsia" w:ascii="仿宋_GB2312" w:hAnsi="仿宋_GB2312" w:eastAsia="仿宋_GB2312" w:cs="仿宋_GB2312"/>
          <w:color w:val="000000"/>
          <w:kern w:val="0"/>
          <w:sz w:val="32"/>
          <w:szCs w:val="32"/>
          <w:lang w:val="en-US" w:eastAsia="zh-CN"/>
        </w:rPr>
        <w:t>机关运行经费：指为保障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6"/>
        <w:ind w:firstLine="640" w:firstLineChars="200"/>
        <w:rPr>
          <w:rFonts w:hint="eastAsia" w:ascii="仿宋_GB2312" w:hAnsi="仿宋_GB2312" w:eastAsia="仿宋_GB2312" w:cs="仿宋_GB2312"/>
          <w:color w:val="000000"/>
          <w:kern w:val="0"/>
          <w:sz w:val="32"/>
          <w:szCs w:val="32"/>
          <w:lang w:val="en-US" w:eastAsia="zh-CN" w:bidi="ar-SA"/>
        </w:rPr>
      </w:pPr>
    </w:p>
    <w:p>
      <w:pPr>
        <w:pStyle w:val="16"/>
        <w:jc w:val="center"/>
        <w:rPr>
          <w:rFonts w:hint="eastAsia" w:ascii="仿宋_GB2312" w:hAnsi="仿宋_GB2312" w:eastAsia="仿宋_GB2312" w:cs="仿宋_GB2312"/>
          <w:sz w:val="32"/>
          <w:szCs w:val="32"/>
        </w:rPr>
      </w:pPr>
    </w:p>
    <w:p>
      <w:pPr>
        <w:pStyle w:val="11"/>
      </w:pPr>
    </w:p>
    <w:p>
      <w:pPr>
        <w:pStyle w:val="8"/>
      </w:pPr>
    </w:p>
    <w:p/>
    <w:p>
      <w:pPr>
        <w:pStyle w:val="11"/>
      </w:pPr>
    </w:p>
    <w:p>
      <w:pPr>
        <w:pStyle w:val="8"/>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11"/>
      </w:pPr>
    </w:p>
    <w:p>
      <w:pPr>
        <w:pStyle w:val="8"/>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6"/>
        <w:jc w:val="center"/>
        <w:rPr>
          <w:rFonts w:hint="eastAsia" w:ascii="方正小标宋_GBK" w:hAnsi="方正小标宋_GBK" w:eastAsia="方正小标宋_GBK" w:cs="方正小标宋_GBK"/>
          <w:sz w:val="72"/>
          <w:szCs w:val="72"/>
          <w:lang w:eastAsia="zh-CN"/>
        </w:rPr>
      </w:pPr>
    </w:p>
    <w:p>
      <w:pPr>
        <w:pStyle w:val="16"/>
        <w:jc w:val="center"/>
        <w:rPr>
          <w:rFonts w:hint="eastAsia" w:ascii="方正小标宋_GBK" w:hAnsi="方正小标宋_GBK" w:eastAsia="方正小标宋_GBK" w:cs="方正小标宋_GBK"/>
          <w:sz w:val="72"/>
          <w:szCs w:val="72"/>
          <w:lang w:eastAsia="zh-CN"/>
        </w:rPr>
      </w:pPr>
      <w:r>
        <w:rPr>
          <w:rFonts w:hint="eastAsia" w:ascii="方正小标宋_GBK" w:hAnsi="方正小标宋_GBK" w:eastAsia="方正小标宋_GBK" w:cs="方正小标宋_GBK"/>
          <w:sz w:val="72"/>
          <w:szCs w:val="72"/>
          <w:lang w:eastAsia="zh-CN"/>
        </w:rPr>
        <w:t>附</w:t>
      </w:r>
      <w:r>
        <w:rPr>
          <w:rFonts w:hint="eastAsia" w:ascii="方正小标宋_GBK" w:hAnsi="方正小标宋_GBK" w:eastAsia="方正小标宋_GBK" w:cs="方正小标宋_GBK"/>
          <w:sz w:val="72"/>
          <w:szCs w:val="72"/>
          <w:lang w:val="en-US" w:eastAsia="zh-CN"/>
        </w:rPr>
        <w:t xml:space="preserve"> </w:t>
      </w:r>
      <w:r>
        <w:rPr>
          <w:rFonts w:hint="eastAsia" w:ascii="方正小标宋_GBK" w:hAnsi="方正小标宋_GBK" w:eastAsia="方正小标宋_GBK" w:cs="方正小标宋_GBK"/>
          <w:sz w:val="72"/>
          <w:szCs w:val="72"/>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sectPr>
      <w:pgSz w:w="11906" w:h="16838"/>
      <w:pgMar w:top="1417" w:right="1587" w:bottom="1417" w:left="1587"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7D3CB"/>
    <w:multiLevelType w:val="singleLevel"/>
    <w:tmpl w:val="3C07D3CB"/>
    <w:lvl w:ilvl="0" w:tentative="0">
      <w:start w:val="1"/>
      <w:numFmt w:val="decimal"/>
      <w:suff w:val="nothing"/>
      <w:lvlText w:val="%1、"/>
      <w:lvlJc w:val="left"/>
    </w:lvl>
  </w:abstractNum>
  <w:abstractNum w:abstractNumId="1">
    <w:nsid w:val="613D6E55"/>
    <w:multiLevelType w:val="singleLevel"/>
    <w:tmpl w:val="613D6E55"/>
    <w:lvl w:ilvl="0" w:tentative="0">
      <w:start w:val="2"/>
      <w:numFmt w:val="chineseCounting"/>
      <w:suff w:val="nothing"/>
      <w:lvlText w:val="（%1）"/>
      <w:lvlJc w:val="left"/>
      <w:rPr>
        <w:rFonts w:hint="eastAsia"/>
      </w:rPr>
    </w:lvl>
  </w:abstractNum>
  <w:abstractNum w:abstractNumId="2">
    <w:nsid w:val="75706B46"/>
    <w:multiLevelType w:val="singleLevel"/>
    <w:tmpl w:val="75706B46"/>
    <w:lvl w:ilvl="0" w:tentative="0">
      <w:start w:val="1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12583BA5"/>
    <w:rsid w:val="13BA5B9C"/>
    <w:rsid w:val="192F48AD"/>
    <w:rsid w:val="1D97DEFF"/>
    <w:rsid w:val="1DFF72E5"/>
    <w:rsid w:val="1EFC6F07"/>
    <w:rsid w:val="22AC03C2"/>
    <w:rsid w:val="2FDF85B8"/>
    <w:rsid w:val="2FFFEE04"/>
    <w:rsid w:val="307A121A"/>
    <w:rsid w:val="31C95635"/>
    <w:rsid w:val="34DF85B0"/>
    <w:rsid w:val="38067B32"/>
    <w:rsid w:val="38A40A7C"/>
    <w:rsid w:val="3B8F36BC"/>
    <w:rsid w:val="4423715A"/>
    <w:rsid w:val="491FF225"/>
    <w:rsid w:val="4FFD214C"/>
    <w:rsid w:val="5352765A"/>
    <w:rsid w:val="5777D4F5"/>
    <w:rsid w:val="59DD8326"/>
    <w:rsid w:val="5DEF592A"/>
    <w:rsid w:val="5FC6BB1E"/>
    <w:rsid w:val="5FF720F1"/>
    <w:rsid w:val="67FF5C0B"/>
    <w:rsid w:val="6BAA4A2F"/>
    <w:rsid w:val="6EFC0924"/>
    <w:rsid w:val="6FB74722"/>
    <w:rsid w:val="6FEF8B7E"/>
    <w:rsid w:val="71A6591B"/>
    <w:rsid w:val="737D59BA"/>
    <w:rsid w:val="737F32B1"/>
    <w:rsid w:val="73B54F5B"/>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4"/>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hint="default"/>
      <w:sz w:val="21"/>
      <w:szCs w:val="24"/>
    </w:rPr>
  </w:style>
  <w:style w:type="paragraph" w:customStyle="1" w:styleId="4">
    <w:name w:val="正文2"/>
    <w:basedOn w:val="1"/>
    <w:qFormat/>
    <w:uiPriority w:val="0"/>
    <w:pPr>
      <w:spacing w:line="360" w:lineRule="auto"/>
      <w:ind w:firstLine="420" w:firstLineChars="200"/>
    </w:pPr>
  </w:style>
  <w:style w:type="paragraph" w:styleId="5">
    <w:name w:val="Body Text"/>
    <w:basedOn w:val="1"/>
    <w:next w:val="6"/>
    <w:qFormat/>
    <w:uiPriority w:val="0"/>
    <w:pPr>
      <w:spacing w:after="120"/>
    </w:pPr>
    <w:rPr>
      <w:rFonts w:ascii="Times New Roman" w:hAnsi="Times New Roman"/>
      <w:szCs w:val="24"/>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w:basedOn w:val="1"/>
    <w:next w:val="8"/>
    <w:unhideWhenUsed/>
    <w:qFormat/>
    <w:uiPriority w:val="99"/>
    <w:pPr>
      <w:widowControl/>
      <w:spacing w:after="120"/>
      <w:ind w:left="420" w:leftChars="200"/>
      <w:jc w:val="left"/>
    </w:pPr>
    <w:rPr>
      <w:rFonts w:ascii="宋体" w:hAnsi="宋体" w:eastAsia="宋体" w:cs="宋体"/>
      <w:kern w:val="0"/>
      <w:sz w:val="24"/>
    </w:rPr>
  </w:style>
  <w:style w:type="paragraph" w:styleId="8">
    <w:name w:val="Body Text First Indent 2"/>
    <w:basedOn w:val="7"/>
    <w:next w:val="1"/>
    <w:unhideWhenUsed/>
    <w:qFormat/>
    <w:uiPriority w:val="99"/>
    <w:pPr>
      <w:ind w:firstLine="420" w:firstLineChars="200"/>
    </w:pPr>
  </w:style>
  <w:style w:type="paragraph" w:styleId="9">
    <w:name w:val="Balloon Text"/>
    <w:basedOn w:val="1"/>
    <w:link w:val="18"/>
    <w:semiHidden/>
    <w:unhideWhenUsed/>
    <w:qFormat/>
    <w:uiPriority w:val="99"/>
    <w:rPr>
      <w:sz w:val="18"/>
      <w:szCs w:val="18"/>
    </w:rPr>
  </w:style>
  <w:style w:type="paragraph" w:styleId="10">
    <w:name w:val="footer"/>
    <w:basedOn w:val="1"/>
    <w:link w:val="15"/>
    <w:unhideWhenUsed/>
    <w:qFormat/>
    <w:uiPriority w:val="99"/>
    <w:pPr>
      <w:tabs>
        <w:tab w:val="center" w:pos="4153"/>
        <w:tab w:val="right" w:pos="8306"/>
      </w:tabs>
      <w:snapToGrid w:val="0"/>
      <w:jc w:val="left"/>
    </w:pPr>
    <w:rPr>
      <w:sz w:val="18"/>
      <w:szCs w:val="18"/>
    </w:rPr>
  </w:style>
  <w:style w:type="paragraph" w:styleId="11">
    <w:name w:val="footnote text"/>
    <w:basedOn w:val="1"/>
    <w:next w:val="8"/>
    <w:semiHidden/>
    <w:qFormat/>
    <w:uiPriority w:val="0"/>
    <w:pPr>
      <w:snapToGrid w:val="0"/>
      <w:jc w:val="left"/>
    </w:pPr>
    <w:rPr>
      <w:sz w:val="18"/>
      <w:szCs w:val="18"/>
    </w:rPr>
  </w:style>
  <w:style w:type="character" w:customStyle="1" w:styleId="14">
    <w:name w:val="页眉 Char"/>
    <w:basedOn w:val="13"/>
    <w:link w:val="6"/>
    <w:qFormat/>
    <w:uiPriority w:val="99"/>
    <w:rPr>
      <w:sz w:val="18"/>
      <w:szCs w:val="18"/>
    </w:rPr>
  </w:style>
  <w:style w:type="character" w:customStyle="1" w:styleId="15">
    <w:name w:val="页脚 Char"/>
    <w:basedOn w:val="13"/>
    <w:link w:val="10"/>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3"/>
    <w:link w:val="9"/>
    <w:semiHidden/>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font21"/>
    <w:basedOn w:val="13"/>
    <w:qFormat/>
    <w:uiPriority w:val="0"/>
    <w:rPr>
      <w:rFonts w:hint="eastAsia" w:ascii="宋体" w:hAnsi="宋体" w:eastAsia="宋体" w:cs="宋体"/>
      <w:color w:val="000000"/>
      <w:sz w:val="24"/>
      <w:szCs w:val="24"/>
      <w:u w:val="none"/>
    </w:rPr>
  </w:style>
  <w:style w:type="character" w:customStyle="1" w:styleId="21">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16</TotalTime>
  <ScaleCrop>false</ScaleCrop>
  <LinksUpToDate>false</LinksUpToDate>
  <CharactersWithSpaces>9008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王多胖儿</cp:lastModifiedBy>
  <cp:lastPrinted>2024-09-14T03:08:00Z</cp:lastPrinted>
  <dcterms:modified xsi:type="dcterms:W3CDTF">2024-09-19T07:17:10Z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98623D6660B449428EB8E073C6C952EA</vt:lpwstr>
  </property>
</Properties>
</file>