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jc w:val="center"/>
        <w:rPr>
          <w:sz w:val="56"/>
          <w:szCs w:val="56"/>
        </w:rPr>
      </w:pPr>
    </w:p>
    <w:p>
      <w:pPr>
        <w:pStyle w:val="12"/>
        <w:jc w:val="center"/>
        <w:rPr>
          <w:sz w:val="56"/>
          <w:szCs w:val="56"/>
        </w:rPr>
      </w:pPr>
    </w:p>
    <w:p>
      <w:pPr>
        <w:pStyle w:val="12"/>
        <w:jc w:val="center"/>
        <w:rPr>
          <w:sz w:val="84"/>
          <w:szCs w:val="84"/>
        </w:rPr>
      </w:pPr>
    </w:p>
    <w:p>
      <w:pPr>
        <w:pStyle w:val="12"/>
        <w:jc w:val="center"/>
        <w:rPr>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202</w:t>
      </w:r>
      <w:r>
        <w:rPr>
          <w:rFonts w:hint="eastAsia" w:ascii="方正小标宋_GBK" w:hAnsi="方正小标宋_GBK" w:eastAsia="方正小标宋_GBK" w:cs="方正小标宋_GBK"/>
          <w:sz w:val="84"/>
          <w:szCs w:val="84"/>
          <w:lang w:val="en-US" w:eastAsia="zh-CN"/>
        </w:rPr>
        <w:t>4</w:t>
      </w:r>
      <w:r>
        <w:rPr>
          <w:rFonts w:hint="eastAsia" w:ascii="方正小标宋_GBK" w:hAnsi="方正小标宋_GBK" w:eastAsia="方正小标宋_GBK" w:cs="方正小标宋_GBK"/>
          <w:sz w:val="84"/>
          <w:szCs w:val="84"/>
        </w:rPr>
        <w:t>年度</w:t>
      </w: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岳阳市公安局交通警察支队</w:t>
      </w:r>
      <w:r>
        <w:rPr>
          <w:rFonts w:hint="eastAsia" w:ascii="方正小标宋_GBK" w:hAnsi="方正小标宋_GBK" w:eastAsia="方正小标宋_GBK" w:cs="方正小标宋_GBK"/>
          <w:sz w:val="84"/>
          <w:szCs w:val="84"/>
        </w:rPr>
        <w:t>部门决算</w:t>
      </w:r>
    </w:p>
    <w:p>
      <w:pPr>
        <w:pStyle w:val="12"/>
        <w:jc w:val="center"/>
        <w:rPr>
          <w:rFonts w:hint="eastAsia" w:ascii="方正小标宋_GBK" w:hAnsi="方正小标宋_GBK" w:eastAsia="方正小标宋_GBK" w:cs="方正小标宋_GBK"/>
          <w:sz w:val="56"/>
          <w:szCs w:val="56"/>
        </w:rPr>
      </w:pPr>
    </w:p>
    <w:p>
      <w:pPr>
        <w:pStyle w:val="12"/>
        <w:jc w:val="center"/>
        <w:rPr>
          <w:sz w:val="56"/>
          <w:szCs w:val="56"/>
        </w:rPr>
      </w:pPr>
    </w:p>
    <w:p>
      <w:pPr>
        <w:pStyle w:val="12"/>
        <w:jc w:val="center"/>
        <w:rPr>
          <w:sz w:val="56"/>
          <w:szCs w:val="56"/>
        </w:rPr>
      </w:pPr>
    </w:p>
    <w:p>
      <w:pPr>
        <w:pStyle w:val="12"/>
        <w:jc w:val="center"/>
        <w:rPr>
          <w:sz w:val="56"/>
          <w:szCs w:val="56"/>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jc w:val="center"/>
        <w:rPr>
          <w:sz w:val="32"/>
          <w:szCs w:val="32"/>
        </w:rPr>
      </w:pPr>
    </w:p>
    <w:p>
      <w:pPr>
        <w:pStyle w:val="12"/>
        <w:spacing w:line="540" w:lineRule="exact"/>
        <w:jc w:val="center"/>
        <w:rPr>
          <w:sz w:val="56"/>
          <w:szCs w:val="56"/>
        </w:rPr>
      </w:pPr>
    </w:p>
    <w:p>
      <w:pPr>
        <w:pStyle w:val="12"/>
        <w:spacing w:line="500" w:lineRule="exact"/>
        <w:jc w:val="both"/>
        <w:rPr>
          <w:b/>
          <w:sz w:val="36"/>
          <w:szCs w:val="28"/>
        </w:rPr>
      </w:pPr>
    </w:p>
    <w:p>
      <w:pPr>
        <w:pStyle w:val="12"/>
        <w:spacing w:line="500" w:lineRule="exact"/>
        <w:jc w:val="center"/>
        <w:rPr>
          <w:b/>
          <w:sz w:val="36"/>
          <w:szCs w:val="28"/>
        </w:rPr>
      </w:pPr>
      <w:r>
        <w:rPr>
          <w:rFonts w:hint="eastAsia"/>
          <w:b/>
          <w:sz w:val="36"/>
          <w:szCs w:val="28"/>
        </w:rPr>
        <w:t>目录</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第一部分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val="en-US" w:eastAsia="zh-CN"/>
        </w:rPr>
        <w:t>岳阳市公安局交通警察支队</w:t>
      </w:r>
      <w:r>
        <w:rPr>
          <w:rFonts w:hint="eastAsia" w:ascii="黑体" w:hAnsi="黑体" w:eastAsia="黑体" w:cs="黑体"/>
          <w:b w:val="0"/>
          <w:bCs/>
          <w:sz w:val="28"/>
          <w:szCs w:val="28"/>
          <w:lang w:eastAsia="zh-CN"/>
        </w:rPr>
        <w:t>部门</w:t>
      </w:r>
      <w:r>
        <w:rPr>
          <w:rFonts w:hint="eastAsia" w:ascii="黑体" w:hAnsi="黑体" w:eastAsia="黑体" w:cs="黑体"/>
          <w:b w:val="0"/>
          <w:bCs/>
          <w:sz w:val="28"/>
          <w:szCs w:val="28"/>
        </w:rPr>
        <w:t>概况</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一、部门职责</w:t>
      </w:r>
    </w:p>
    <w:p>
      <w:pPr>
        <w:pStyle w:val="12"/>
        <w:spacing w:line="500" w:lineRule="exact"/>
        <w:ind w:firstLine="700" w:firstLineChars="25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二、机构设置</w:t>
      </w:r>
      <w:r>
        <w:rPr>
          <w:rFonts w:hint="eastAsia" w:ascii="仿宋_GB2312" w:hAnsi="仿宋_GB2312" w:eastAsia="仿宋_GB2312" w:cs="仿宋_GB2312"/>
          <w:sz w:val="28"/>
          <w:szCs w:val="28"/>
          <w:lang w:eastAsia="zh-CN"/>
        </w:rPr>
        <w:t>及决算单位构成</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第二部分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四、财政拨款收入支出决算总表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五、一般公共预算财政拨款支出决算表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六、一般公共预算财政拨款基本支出决算明细表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七、政府性基金预算财政拨款收入支出决算表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八、国有资本经营预算财政拨款支出决算表</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九、财政拨款“三公”经费支出决算表</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第三部分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部门决算情况说明</w:t>
      </w:r>
    </w:p>
    <w:p>
      <w:pPr>
        <w:pStyle w:val="12"/>
        <w:spacing w:line="500" w:lineRule="exact"/>
        <w:ind w:firstLine="700" w:firstLineChars="2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一、收入支出决算总体情况说明</w:t>
      </w:r>
    </w:p>
    <w:p>
      <w:pPr>
        <w:spacing w:line="500" w:lineRule="exact"/>
        <w:ind w:firstLine="700" w:firstLineChars="25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二、收入决算情况说明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六、一般公共预算财政拨款基本支出决算情况说明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highlight w:val="yellow"/>
        </w:rPr>
      </w:pPr>
      <w:r>
        <w:rPr>
          <w:rFonts w:hint="eastAsia" w:ascii="仿宋_GB2312" w:hAnsi="仿宋_GB2312" w:eastAsia="仿宋_GB2312" w:cs="仿宋_GB2312"/>
          <w:color w:val="000000"/>
          <w:kern w:val="0"/>
          <w:sz w:val="28"/>
          <w:szCs w:val="28"/>
          <w:highlight w:val="none"/>
        </w:rPr>
        <w:t>八、</w:t>
      </w:r>
      <w:r>
        <w:rPr>
          <w:rFonts w:hint="eastAsia" w:ascii="仿宋_GB2312" w:hAnsi="仿宋_GB2312" w:eastAsia="仿宋_GB2312" w:cs="仿宋_GB2312"/>
          <w:sz w:val="28"/>
          <w:szCs w:val="28"/>
          <w:highlight w:val="none"/>
        </w:rPr>
        <w:t>国有资本经营预算财政拨款支出决算</w:t>
      </w:r>
      <w:r>
        <w:rPr>
          <w:rFonts w:hint="eastAsia" w:ascii="仿宋_GB2312" w:hAnsi="仿宋_GB2312" w:eastAsia="仿宋_GB2312" w:cs="仿宋_GB2312"/>
          <w:sz w:val="28"/>
          <w:szCs w:val="28"/>
          <w:highlight w:val="none"/>
          <w:lang w:eastAsia="zh-CN"/>
        </w:rPr>
        <w:t>情况</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color w:val="000000"/>
          <w:kern w:val="0"/>
          <w:sz w:val="28"/>
          <w:szCs w:val="28"/>
        </w:rPr>
        <w:t>九、财政拨款三公经费支出决算情况说明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十、关于机关运行经费支出说明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十一、一般性支出情况说明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jc w:val="left"/>
        <w:textAlignment w:val="auto"/>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十二、</w:t>
      </w:r>
      <w:r>
        <w:rPr>
          <w:rFonts w:hint="eastAsia" w:ascii="仿宋_GB2312" w:hAnsi="仿宋_GB2312" w:eastAsia="仿宋_GB2312" w:cs="仿宋_GB2312"/>
          <w:color w:val="000000"/>
          <w:kern w:val="0"/>
          <w:sz w:val="28"/>
          <w:szCs w:val="28"/>
        </w:rPr>
        <w:t>关于政府采购支出说明</w:t>
      </w:r>
    </w:p>
    <w:p>
      <w:pPr>
        <w:keepNext w:val="0"/>
        <w:keepLines w:val="0"/>
        <w:pageBreakBefore w:val="0"/>
        <w:widowControl w:val="0"/>
        <w:kinsoku/>
        <w:wordWrap/>
        <w:overflowPunct/>
        <w:topLinePunct w:val="0"/>
        <w:autoSpaceDE w:val="0"/>
        <w:autoSpaceDN w:val="0"/>
        <w:bidi w:val="0"/>
        <w:adjustRightInd w:val="0"/>
        <w:snapToGrid/>
        <w:spacing w:line="480" w:lineRule="exact"/>
        <w:ind w:firstLine="700" w:firstLineChars="250"/>
        <w:textAlignment w:val="auto"/>
        <w:rPr>
          <w:rFonts w:hint="eastAsia" w:ascii="仿宋_GB2312" w:hAnsi="仿宋_GB2312" w:eastAsia="仿宋_GB2312" w:cs="仿宋_GB2312"/>
          <w:color w:val="000000"/>
          <w:kern w:val="0"/>
          <w:sz w:val="28"/>
          <w:szCs w:val="28"/>
          <w:lang w:val="en-US" w:eastAsia="zh-CN" w:bidi="ar-SA"/>
        </w:rPr>
      </w:pPr>
      <w:r>
        <w:rPr>
          <w:rFonts w:hint="eastAsia" w:ascii="仿宋_GB2312" w:hAnsi="仿宋_GB2312" w:eastAsia="仿宋_GB2312" w:cs="仿宋_GB2312"/>
          <w:color w:val="000000"/>
          <w:kern w:val="0"/>
          <w:sz w:val="28"/>
          <w:szCs w:val="28"/>
          <w:lang w:val="en-US" w:eastAsia="zh-CN" w:bidi="ar-SA"/>
        </w:rPr>
        <w:t>十三、关于国有资产占用情况说明</w:t>
      </w:r>
    </w:p>
    <w:p>
      <w:pPr>
        <w:pStyle w:val="12"/>
        <w:spacing w:line="500" w:lineRule="exact"/>
        <w:ind w:firstLine="700" w:firstLineChars="250"/>
        <w:rPr>
          <w:rFonts w:hint="eastAsia" w:ascii="仿宋_GB2312" w:hAnsi="仿宋_GB2312" w:eastAsia="仿宋_GB2312" w:cs="仿宋_GB2312"/>
          <w:sz w:val="28"/>
          <w:szCs w:val="28"/>
          <w:highlight w:val="none"/>
        </w:rPr>
      </w:pPr>
      <w:r>
        <w:rPr>
          <w:rFonts w:hint="eastAsia" w:ascii="仿宋_GB2312" w:hAnsi="仿宋_GB2312" w:eastAsia="仿宋_GB2312" w:cs="仿宋_GB2312"/>
          <w:color w:val="000000"/>
          <w:kern w:val="0"/>
          <w:sz w:val="28"/>
          <w:szCs w:val="28"/>
          <w:highlight w:val="none"/>
          <w:lang w:val="en-US" w:eastAsia="zh-CN" w:bidi="ar-SA"/>
        </w:rPr>
        <w:t>十四、</w:t>
      </w:r>
      <w:r>
        <w:rPr>
          <w:rFonts w:hint="eastAsia" w:ascii="仿宋_GB2312" w:hAnsi="仿宋_GB2312" w:eastAsia="仿宋_GB2312" w:cs="仿宋_GB2312"/>
          <w:sz w:val="28"/>
          <w:szCs w:val="28"/>
          <w:highlight w:val="none"/>
        </w:rPr>
        <w:t>关于</w:t>
      </w:r>
      <w:r>
        <w:rPr>
          <w:rFonts w:hint="default" w:ascii="Times New Roman" w:hAnsi="Times New Roman" w:eastAsia="仿宋_GB2312" w:cs="Times New Roman"/>
          <w:sz w:val="28"/>
          <w:szCs w:val="28"/>
          <w:highlight w:val="none"/>
        </w:rPr>
        <w:t>202</w:t>
      </w:r>
      <w:r>
        <w:rPr>
          <w:rFonts w:hint="eastAsia" w:ascii="Times New Roman" w:hAnsi="Times New Roman" w:eastAsia="仿宋_GB2312" w:cs="Times New Roman"/>
          <w:sz w:val="28"/>
          <w:szCs w:val="28"/>
          <w:highlight w:val="none"/>
          <w:lang w:val="en-US" w:eastAsia="zh-CN"/>
        </w:rPr>
        <w:t>4</w:t>
      </w:r>
      <w:r>
        <w:rPr>
          <w:rFonts w:hint="eastAsia" w:ascii="仿宋_GB2312" w:hAnsi="仿宋_GB2312" w:eastAsia="仿宋_GB2312" w:cs="仿宋_GB2312"/>
          <w:sz w:val="28"/>
          <w:szCs w:val="28"/>
          <w:highlight w:val="none"/>
        </w:rPr>
        <w:t>年度</w:t>
      </w:r>
      <w:r>
        <w:rPr>
          <w:rFonts w:hint="eastAsia" w:ascii="仿宋_GB2312" w:hAnsi="仿宋_GB2312" w:eastAsia="仿宋_GB2312" w:cs="仿宋_GB2312"/>
          <w:sz w:val="28"/>
          <w:szCs w:val="28"/>
          <w:highlight w:val="none"/>
          <w:lang w:eastAsia="zh-CN"/>
        </w:rPr>
        <w:t>预算</w:t>
      </w:r>
      <w:r>
        <w:rPr>
          <w:rFonts w:hint="eastAsia" w:ascii="仿宋_GB2312" w:hAnsi="仿宋_GB2312" w:eastAsia="仿宋_GB2312" w:cs="仿宋_GB2312"/>
          <w:sz w:val="28"/>
          <w:szCs w:val="28"/>
          <w:highlight w:val="none"/>
        </w:rPr>
        <w:t>绩效</w:t>
      </w:r>
      <w:r>
        <w:rPr>
          <w:rFonts w:hint="eastAsia" w:ascii="仿宋_GB2312" w:hAnsi="仿宋_GB2312" w:eastAsia="仿宋_GB2312" w:cs="仿宋_GB2312"/>
          <w:sz w:val="28"/>
          <w:szCs w:val="28"/>
          <w:highlight w:val="none"/>
          <w:lang w:eastAsia="zh-CN"/>
        </w:rPr>
        <w:t>管理</w:t>
      </w:r>
      <w:r>
        <w:rPr>
          <w:rFonts w:hint="eastAsia" w:ascii="仿宋_GB2312" w:hAnsi="仿宋_GB2312" w:eastAsia="仿宋_GB2312" w:cs="仿宋_GB2312"/>
          <w:sz w:val="28"/>
          <w:szCs w:val="28"/>
          <w:highlight w:val="none"/>
        </w:rPr>
        <w:t>情况的说明</w:t>
      </w:r>
    </w:p>
    <w:p>
      <w:pPr>
        <w:pStyle w:val="12"/>
        <w:spacing w:line="500" w:lineRule="exact"/>
        <w:rPr>
          <w:rFonts w:hint="eastAsia" w:ascii="黑体" w:hAnsi="黑体" w:eastAsia="黑体" w:cs="黑体"/>
          <w:b w:val="0"/>
          <w:bCs/>
          <w:sz w:val="28"/>
          <w:szCs w:val="28"/>
        </w:rPr>
      </w:pPr>
      <w:r>
        <w:rPr>
          <w:rFonts w:hint="eastAsia" w:ascii="黑体" w:hAnsi="黑体" w:eastAsia="黑体" w:cs="黑体"/>
          <w:b w:val="0"/>
          <w:bCs/>
          <w:sz w:val="28"/>
          <w:szCs w:val="28"/>
        </w:rPr>
        <w:t>第四部分</w:t>
      </w:r>
      <w:r>
        <w:rPr>
          <w:rFonts w:hint="eastAsia" w:ascii="黑体" w:hAnsi="黑体" w:eastAsia="黑体" w:cs="黑体"/>
          <w:b w:val="0"/>
          <w:bCs/>
          <w:sz w:val="28"/>
          <w:szCs w:val="28"/>
          <w:lang w:val="en-US" w:eastAsia="zh-CN"/>
        </w:rPr>
        <w:t xml:space="preserve"> </w:t>
      </w:r>
      <w:r>
        <w:rPr>
          <w:rFonts w:hint="eastAsia" w:ascii="黑体" w:hAnsi="黑体" w:eastAsia="黑体" w:cs="黑体"/>
          <w:b w:val="0"/>
          <w:bCs/>
          <w:sz w:val="28"/>
          <w:szCs w:val="28"/>
        </w:rPr>
        <w:t>名词解释</w:t>
      </w:r>
    </w:p>
    <w:p>
      <w:pPr>
        <w:pStyle w:val="12"/>
        <w:spacing w:line="500" w:lineRule="exact"/>
        <w:rPr>
          <w:rFonts w:hint="eastAsia" w:ascii="黑体" w:hAnsi="黑体" w:eastAsia="黑体" w:cs="黑体"/>
          <w:b w:val="0"/>
          <w:bCs/>
          <w:sz w:val="28"/>
          <w:szCs w:val="28"/>
          <w:lang w:eastAsia="zh-CN"/>
        </w:rPr>
      </w:pPr>
      <w:r>
        <w:rPr>
          <w:rFonts w:hint="eastAsia" w:ascii="黑体" w:hAnsi="黑体" w:eastAsia="黑体" w:cs="黑体"/>
          <w:b w:val="0"/>
          <w:bCs/>
          <w:sz w:val="28"/>
          <w:szCs w:val="28"/>
        </w:rPr>
        <w:t>第</w:t>
      </w:r>
      <w:r>
        <w:rPr>
          <w:rFonts w:hint="eastAsia" w:hAnsi="黑体" w:cs="黑体"/>
          <w:b w:val="0"/>
          <w:bCs/>
          <w:sz w:val="28"/>
          <w:szCs w:val="28"/>
          <w:lang w:eastAsia="zh-CN"/>
        </w:rPr>
        <w:t>五</w:t>
      </w:r>
      <w:r>
        <w:rPr>
          <w:rFonts w:hint="eastAsia" w:ascii="黑体" w:hAnsi="黑体" w:eastAsia="黑体" w:cs="黑体"/>
          <w:b w:val="0"/>
          <w:bCs/>
          <w:sz w:val="28"/>
          <w:szCs w:val="28"/>
        </w:rPr>
        <w:t>部分</w:t>
      </w:r>
      <w:r>
        <w:rPr>
          <w:rFonts w:hint="eastAsia" w:ascii="黑体" w:hAnsi="黑体" w:eastAsia="黑体" w:cs="黑体"/>
          <w:b w:val="0"/>
          <w:bCs/>
          <w:sz w:val="28"/>
          <w:szCs w:val="28"/>
          <w:lang w:val="en-US" w:eastAsia="zh-CN"/>
        </w:rPr>
        <w:t xml:space="preserve"> </w:t>
      </w:r>
      <w:r>
        <w:rPr>
          <w:rFonts w:hint="eastAsia" w:hAnsi="黑体" w:cs="黑体"/>
          <w:b w:val="0"/>
          <w:bCs/>
          <w:sz w:val="28"/>
          <w:szCs w:val="28"/>
          <w:lang w:eastAsia="zh-CN"/>
        </w:rPr>
        <w:t>附件</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 xml:space="preserve">第一部分 </w:t>
      </w:r>
    </w:p>
    <w:p>
      <w:pPr>
        <w:pStyle w:val="12"/>
        <w:jc w:val="center"/>
        <w:rPr>
          <w:rFonts w:hint="eastAsia" w:ascii="方正小标宋_GBK" w:hAnsi="方正小标宋_GBK" w:eastAsia="方正小标宋_GBK" w:cs="方正小标宋_GBK"/>
          <w:sz w:val="84"/>
          <w:szCs w:val="84"/>
        </w:rPr>
      </w:pPr>
    </w:p>
    <w:p>
      <w:pPr>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lang w:val="en-US" w:eastAsia="zh-CN"/>
        </w:rPr>
        <w:t>岳阳市公安局交通警察支队</w:t>
      </w:r>
      <w:r>
        <w:rPr>
          <w:rFonts w:hint="eastAsia" w:ascii="方正小标宋_GBK" w:hAnsi="方正小标宋_GBK" w:eastAsia="方正小标宋_GBK" w:cs="方正小标宋_GBK"/>
          <w:sz w:val="84"/>
          <w:szCs w:val="84"/>
          <w:lang w:eastAsia="zh-CN"/>
        </w:rPr>
        <w:t>部门</w:t>
      </w:r>
      <w:r>
        <w:rPr>
          <w:rFonts w:hint="eastAsia" w:ascii="方正小标宋_GBK" w:hAnsi="方正小标宋_GBK" w:eastAsia="方正小标宋_GBK" w:cs="方正小标宋_GBK"/>
          <w:sz w:val="84"/>
          <w:szCs w:val="84"/>
        </w:rPr>
        <w:t>概况</w:t>
      </w:r>
    </w:p>
    <w:p>
      <w:pPr>
        <w:pStyle w:val="2"/>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rPr>
          <w:rFonts w:hint="eastAsia" w:ascii="方正小标宋_GBK" w:hAnsi="方正小标宋_GBK" w:eastAsia="方正小标宋_GBK" w:cs="方正小标宋_GBK"/>
          <w:sz w:val="84"/>
          <w:szCs w:val="84"/>
        </w:rPr>
      </w:pPr>
    </w:p>
    <w:p>
      <w:pPr>
        <w:pStyle w:val="2"/>
        <w:rPr>
          <w:rFonts w:hint="eastAsia" w:ascii="方正小标宋_GBK" w:hAnsi="方正小标宋_GBK" w:eastAsia="方正小标宋_GBK" w:cs="方正小标宋_GBK"/>
          <w:sz w:val="84"/>
          <w:szCs w:val="84"/>
        </w:rPr>
      </w:pPr>
    </w:p>
    <w:p>
      <w:pPr>
        <w:pStyle w:val="3"/>
        <w:rPr>
          <w:rFonts w:hint="eastAsia" w:ascii="方正小标宋_GBK" w:hAnsi="方正小标宋_GBK" w:eastAsia="方正小标宋_GBK" w:cs="方正小标宋_GBK"/>
          <w:sz w:val="84"/>
          <w:szCs w:val="84"/>
        </w:rPr>
      </w:pPr>
    </w:p>
    <w:p>
      <w:pPr>
        <w:pStyle w:val="13"/>
        <w:numPr>
          <w:ilvl w:val="0"/>
          <w:numId w:val="1"/>
        </w:numPr>
        <w:ind w:firstLineChars="0"/>
        <w:jc w:val="left"/>
        <w:rPr>
          <w:rFonts w:hint="eastAsia" w:ascii="黑体" w:hAnsi="黑体" w:eastAsia="黑体" w:cs="黑体"/>
          <w:b w:val="0"/>
          <w:bCs w:val="0"/>
          <w:sz w:val="32"/>
          <w:szCs w:val="32"/>
        </w:rPr>
      </w:pPr>
      <w:r>
        <w:rPr>
          <w:rFonts w:hint="eastAsia" w:ascii="黑体" w:hAnsi="黑体" w:eastAsia="黑体" w:cs="黑体"/>
          <w:b w:val="0"/>
          <w:bCs w:val="0"/>
          <w:sz w:val="32"/>
          <w:szCs w:val="32"/>
        </w:rPr>
        <w:t>部门职责</w:t>
      </w:r>
    </w:p>
    <w:p>
      <w:pPr>
        <w:keepNext/>
        <w:keepLines/>
        <w:shd w:val="clear" w:color="auto" w:fill="FFFFFF"/>
        <w:spacing w:beforeLines="0" w:afterLines="0"/>
        <w:ind w:firstLine="640" w:firstLineChars="200"/>
        <w:jc w:val="left"/>
        <w:rPr>
          <w:rFonts w:hint="eastAsia"/>
        </w:rPr>
      </w:pPr>
      <w:r>
        <w:rPr>
          <w:rFonts w:hint="eastAsia" w:ascii="Times New Roman" w:hAnsi="Times New Roman" w:eastAsia="仿宋_GB2312" w:cs="黑体"/>
          <w:color w:val="000000"/>
          <w:kern w:val="0"/>
          <w:sz w:val="32"/>
          <w:szCs w:val="32"/>
          <w:lang w:val="en-US" w:eastAsia="zh-CN" w:bidi="ar-SA"/>
        </w:rPr>
        <w:t>指导全市城乡道路交通安全管理、交通安全宣传教育、交通指挥；负责维护城乡交通秩序，处理交通事故；负责预防、控制和打击涉车、涉路的违法犯罪；协同打击城乡非法营运的机动车辆；负责机动车辆管理和驾驶人管理工作；参与道路建设中的交通安全设施的规划、设置；负责重大警保卫任务交通管理以及静态交通管理。</w:t>
      </w:r>
    </w:p>
    <w:p>
      <w:pPr>
        <w:widowControl/>
        <w:spacing w:line="600" w:lineRule="exact"/>
        <w:rPr>
          <w:rFonts w:hint="eastAsia" w:ascii="黑体" w:hAnsi="黑体" w:eastAsia="黑体" w:cs="黑体"/>
          <w:b w:val="0"/>
          <w:bCs/>
          <w:kern w:val="0"/>
          <w:sz w:val="32"/>
          <w:szCs w:val="32"/>
        </w:rPr>
      </w:pPr>
      <w:r>
        <w:rPr>
          <w:rFonts w:hint="eastAsia" w:ascii="黑体" w:hAnsi="黑体" w:eastAsia="黑体" w:cs="黑体"/>
          <w:b w:val="0"/>
          <w:bCs/>
          <w:kern w:val="0"/>
          <w:sz w:val="32"/>
          <w:szCs w:val="32"/>
        </w:rPr>
        <w:t>二、机构设置及决算单位构成</w:t>
      </w:r>
    </w:p>
    <w:p>
      <w:pPr>
        <w:widowControl/>
        <w:numPr>
          <w:ilvl w:val="0"/>
          <w:numId w:val="0"/>
        </w:numPr>
        <w:spacing w:line="600" w:lineRule="exact"/>
        <w:ind w:firstLine="640" w:firstLineChars="200"/>
        <w:rPr>
          <w:rFonts w:hint="eastAsia" w:ascii="宋体" w:hAnsi="宋体" w:eastAsia="宋体" w:cs="宋体"/>
          <w:sz w:val="32"/>
          <w:szCs w:val="32"/>
          <w:highlight w:val="none"/>
          <w:lang w:val="en-US" w:eastAsia="zh-CN"/>
        </w:rPr>
      </w:pPr>
      <w:r>
        <w:rPr>
          <w:rFonts w:hint="eastAsia" w:ascii="Times New Roman" w:hAnsi="Times New Roman" w:eastAsia="仿宋_GB2312" w:cs="仿宋_GB2312"/>
          <w:bCs/>
          <w:kern w:val="0"/>
          <w:sz w:val="32"/>
          <w:szCs w:val="32"/>
        </w:rPr>
        <w:t>（一）内设机构设置。</w:t>
      </w:r>
      <w:r>
        <w:rPr>
          <w:rFonts w:hint="eastAsia" w:ascii="Times New Roman" w:hAnsi="Times New Roman" w:eastAsia="仿宋_GB2312" w:cs="仿宋_GB2312"/>
          <w:bCs/>
          <w:kern w:val="0"/>
          <w:sz w:val="32"/>
          <w:szCs w:val="32"/>
          <w:lang w:val="en-US" w:eastAsia="zh-CN"/>
        </w:rPr>
        <w:t>岳阳市公安局交通警察支队</w:t>
      </w:r>
      <w:r>
        <w:rPr>
          <w:rFonts w:hint="eastAsia" w:ascii="Times New Roman" w:hAnsi="Times New Roman" w:eastAsia="仿宋_GB2312" w:cs="仿宋_GB2312"/>
          <w:bCs/>
          <w:kern w:val="0"/>
          <w:sz w:val="32"/>
          <w:szCs w:val="32"/>
        </w:rPr>
        <w:t>单位内设机构包括：</w:t>
      </w:r>
      <w:r>
        <w:rPr>
          <w:rFonts w:hint="eastAsia" w:ascii="Times New Roman" w:hAnsi="Times New Roman" w:eastAsia="仿宋_GB2312" w:cs="黑体"/>
          <w:color w:val="000000"/>
          <w:kern w:val="0"/>
          <w:sz w:val="32"/>
          <w:szCs w:val="32"/>
          <w:lang w:val="en-US" w:eastAsia="zh-CN" w:bidi="ar-SA"/>
        </w:rPr>
        <w:t>岳阳市公安局交通警察支队为岳阳市公安局直属独立核算副处级二级机构，内设11个科所室、5个业务指导大队、9个勤务大队，包括：</w:t>
      </w:r>
      <w:r>
        <w:rPr>
          <w:rFonts w:hint="eastAsia" w:ascii="Times New Roman" w:hAnsi="Times New Roman" w:eastAsia="仿宋_GB2312" w:cs="黑体"/>
          <w:color w:val="000000"/>
          <w:kern w:val="0"/>
          <w:sz w:val="32"/>
          <w:szCs w:val="32"/>
          <w:highlight w:val="none"/>
          <w:lang w:val="en-US" w:eastAsia="zh-CN" w:bidi="ar-SA"/>
        </w:rPr>
        <w:t>指挥调度管理大队、政工科、纪委（监察室）、工会、行政装备科、办公室、交通安全宣传教育科、交通秩序管理科、机动车驾驶人管理所、机动车辆管理所、交通违法处理大队、法制大队、道路交通设施管理大队、农村道路交通管理指导大队、交通事故预防处理指导大队、驾驶人交通违法教育管理大队、岳阳楼大队、白石岭大队、云溪大队、君山大队、城陵矶大队、南湖大队、新港区大队、公路巡逻警察大队、综合执法大队</w:t>
      </w:r>
      <w:r>
        <w:rPr>
          <w:rFonts w:hint="eastAsia" w:ascii="宋体" w:hAnsi="宋体" w:eastAsia="宋体" w:cs="宋体"/>
          <w:sz w:val="32"/>
          <w:szCs w:val="32"/>
          <w:highlight w:val="none"/>
          <w:lang w:val="en-US" w:eastAsia="zh-CN"/>
        </w:rPr>
        <w:t>。</w:t>
      </w:r>
    </w:p>
    <w:p>
      <w:pPr>
        <w:widowControl/>
        <w:spacing w:line="600" w:lineRule="exact"/>
        <w:rPr>
          <w:rFonts w:hint="eastAsia" w:ascii="Times New Roman" w:hAnsi="Times New Roman" w:eastAsia="仿宋_GB2312" w:cs="仿宋_GB2312"/>
          <w:bCs/>
          <w:kern w:val="0"/>
          <w:sz w:val="32"/>
          <w:szCs w:val="32"/>
        </w:rPr>
      </w:pPr>
    </w:p>
    <w:p>
      <w:pPr>
        <w:widowControl/>
        <w:numPr>
          <w:ilvl w:val="0"/>
          <w:numId w:val="0"/>
        </w:numPr>
        <w:spacing w:line="600" w:lineRule="exact"/>
        <w:ind w:firstLine="640" w:firstLineChars="200"/>
        <w:rPr>
          <w:rFonts w:hint="eastAsia" w:ascii="Times New Roman" w:hAnsi="Times New Roman" w:eastAsia="仿宋_GB2312" w:cs="仿宋_GB2312"/>
          <w:bCs/>
          <w:kern w:val="0"/>
          <w:sz w:val="32"/>
          <w:szCs w:val="32"/>
        </w:rPr>
      </w:pPr>
      <w:r>
        <w:rPr>
          <w:rFonts w:hint="eastAsia" w:ascii="Times New Roman" w:hAnsi="Times New Roman" w:eastAsia="仿宋_GB2312" w:cs="仿宋_GB2312"/>
          <w:bCs/>
          <w:kern w:val="0"/>
          <w:sz w:val="32"/>
          <w:szCs w:val="32"/>
          <w:lang w:eastAsia="zh-CN"/>
        </w:rPr>
        <w:t>（</w:t>
      </w:r>
      <w:r>
        <w:rPr>
          <w:rFonts w:hint="eastAsia" w:ascii="Times New Roman" w:hAnsi="Times New Roman" w:eastAsia="仿宋_GB2312" w:cs="仿宋_GB2312"/>
          <w:bCs/>
          <w:kern w:val="0"/>
          <w:sz w:val="32"/>
          <w:szCs w:val="32"/>
          <w:lang w:val="en-US" w:eastAsia="zh-CN"/>
        </w:rPr>
        <w:t>二）</w:t>
      </w:r>
      <w:r>
        <w:rPr>
          <w:rFonts w:hint="eastAsia" w:ascii="Times New Roman" w:hAnsi="Times New Roman" w:eastAsia="仿宋_GB2312" w:cs="仿宋_GB2312"/>
          <w:bCs/>
          <w:kern w:val="0"/>
          <w:sz w:val="32"/>
          <w:szCs w:val="32"/>
        </w:rPr>
        <w:t>决算单位构成。</w:t>
      </w:r>
      <w:r>
        <w:rPr>
          <w:rFonts w:hint="eastAsia" w:ascii="Times New Roman" w:hAnsi="Times New Roman" w:eastAsia="仿宋_GB2312" w:cs="仿宋_GB2312"/>
          <w:bCs/>
          <w:kern w:val="0"/>
          <w:sz w:val="32"/>
          <w:szCs w:val="32"/>
          <w:lang w:eastAsia="zh-CN"/>
        </w:rPr>
        <w:t>本单位无独立核算的下属单位，</w:t>
      </w:r>
      <w:r>
        <w:rPr>
          <w:rFonts w:hint="eastAsia" w:ascii="Times New Roman" w:hAnsi="Times New Roman" w:eastAsia="仿宋_GB2312" w:cs="仿宋_GB2312"/>
          <w:bCs/>
          <w:kern w:val="0"/>
          <w:sz w:val="32"/>
          <w:szCs w:val="32"/>
          <w:lang w:val="en-US" w:eastAsia="zh-CN"/>
        </w:rPr>
        <w:t>2024年度部门决算汇总公开单位仅包括岳阳市公安局交通警察支队本级</w:t>
      </w:r>
      <w:r>
        <w:rPr>
          <w:rFonts w:hint="eastAsia" w:ascii="Times New Roman" w:hAnsi="Times New Roman" w:eastAsia="仿宋_GB2312" w:cs="仿宋_GB2312"/>
          <w:bCs/>
          <w:kern w:val="0"/>
          <w:sz w:val="32"/>
          <w:szCs w:val="32"/>
        </w:rPr>
        <w:t>。</w:t>
      </w: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第二部分</w:t>
      </w:r>
    </w:p>
    <w:p>
      <w:pPr>
        <w:pStyle w:val="12"/>
        <w:jc w:val="center"/>
        <w:rPr>
          <w:rFonts w:hint="eastAsia" w:ascii="方正小标宋_GBK" w:hAnsi="方正小标宋_GBK" w:eastAsia="方正小标宋_GBK" w:cs="方正小标宋_GBK"/>
          <w:sz w:val="84"/>
          <w:szCs w:val="84"/>
        </w:rPr>
      </w:pPr>
    </w:p>
    <w:p>
      <w:pPr>
        <w:pStyle w:val="12"/>
        <w:jc w:val="center"/>
        <w:rPr>
          <w:rFonts w:hint="eastAsia" w:ascii="方正小标宋_GBK" w:hAnsi="方正小标宋_GBK" w:eastAsia="方正小标宋_GBK" w:cs="方正小标宋_GBK"/>
          <w:sz w:val="84"/>
          <w:szCs w:val="84"/>
        </w:rPr>
      </w:pPr>
      <w:r>
        <w:rPr>
          <w:rFonts w:hint="eastAsia" w:ascii="方正小标宋_GBK" w:hAnsi="方正小标宋_GBK" w:eastAsia="方正小标宋_GBK" w:cs="方正小标宋_GBK"/>
          <w:sz w:val="84"/>
          <w:szCs w:val="84"/>
        </w:rPr>
        <w:t>部门决算表</w:t>
      </w:r>
    </w:p>
    <w:p>
      <w:pPr>
        <w:pStyle w:val="12"/>
        <w:jc w:val="center"/>
        <w:rPr>
          <w:rFonts w:hint="eastAsia" w:ascii="仿宋_GB2312" w:hAnsi="仿宋_GB2312" w:eastAsia="仿宋_GB2312" w:cs="仿宋_GB2312"/>
          <w:b w:val="0"/>
          <w:bCs w:val="0"/>
          <w:sz w:val="72"/>
          <w:szCs w:val="72"/>
          <w:lang w:eastAsia="zh-CN"/>
        </w:rPr>
      </w:pPr>
      <w:r>
        <w:rPr>
          <w:rFonts w:hint="eastAsia" w:ascii="仿宋_GB2312" w:hAnsi="仿宋_GB2312" w:eastAsia="仿宋_GB2312" w:cs="仿宋_GB2312"/>
          <w:b w:val="0"/>
          <w:bCs w:val="0"/>
          <w:sz w:val="72"/>
          <w:szCs w:val="72"/>
          <w:lang w:eastAsia="zh-CN"/>
        </w:rPr>
        <w:t>（见附件）</w:t>
      </w: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仿宋_GB2312" w:hAnsi="仿宋_GB2312" w:eastAsia="仿宋_GB2312" w:cs="仿宋_GB2312"/>
          <w:b w:val="0"/>
          <w:bCs w:val="0"/>
          <w:sz w:val="72"/>
          <w:szCs w:val="72"/>
          <w:lang w:eastAsia="zh-CN"/>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第三部分</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0"/>
          <w:szCs w:val="70"/>
        </w:rPr>
        <w:t>202</w:t>
      </w:r>
      <w:r>
        <w:rPr>
          <w:rFonts w:hint="eastAsia" w:ascii="方正小标宋_GBK" w:hAnsi="方正小标宋_GBK" w:eastAsia="方正小标宋_GBK" w:cs="方正小标宋_GBK"/>
          <w:sz w:val="70"/>
          <w:szCs w:val="70"/>
          <w:lang w:val="en-US" w:eastAsia="zh-CN"/>
        </w:rPr>
        <w:t>4</w:t>
      </w:r>
      <w:r>
        <w:rPr>
          <w:rFonts w:hint="eastAsia" w:ascii="方正小标宋_GBK" w:hAnsi="方正小标宋_GBK" w:eastAsia="方正小标宋_GBK" w:cs="方正小标宋_GBK"/>
          <w:sz w:val="70"/>
          <w:szCs w:val="70"/>
        </w:rPr>
        <w:t>年度部门决算情况说明</w:t>
      </w: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pStyle w:val="12"/>
        <w:jc w:val="center"/>
        <w:rPr>
          <w:rFonts w:hint="eastAsia" w:ascii="方正小标宋_GBK" w:hAnsi="方正小标宋_GBK" w:eastAsia="方正小标宋_GBK" w:cs="方正小标宋_GBK"/>
          <w:sz w:val="70"/>
          <w:szCs w:val="70"/>
        </w:rPr>
      </w:pPr>
    </w:p>
    <w:p>
      <w:pPr>
        <w:widowControl/>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说明：</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由于</w:t>
      </w:r>
      <w:r>
        <w:rPr>
          <w:rFonts w:hint="eastAsia" w:ascii="仿宋_GB2312" w:hAnsi="仿宋_GB2312" w:eastAsia="仿宋_GB2312" w:cs="仿宋_GB2312"/>
          <w:sz w:val="32"/>
          <w:szCs w:val="32"/>
          <w:lang w:eastAsia="zh-CN"/>
        </w:rPr>
        <w:t>部门</w:t>
      </w:r>
      <w:r>
        <w:rPr>
          <w:rFonts w:hint="eastAsia" w:ascii="仿宋_GB2312" w:hAnsi="仿宋_GB2312" w:eastAsia="仿宋_GB2312" w:cs="仿宋_GB2312"/>
          <w:sz w:val="32"/>
          <w:szCs w:val="32"/>
        </w:rPr>
        <w:t>决算编制时</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明细</w:t>
      </w:r>
      <w:r>
        <w:rPr>
          <w:rFonts w:hint="eastAsia" w:ascii="仿宋_GB2312" w:hAnsi="仿宋_GB2312" w:eastAsia="仿宋_GB2312" w:cs="仿宋_GB2312"/>
          <w:sz w:val="32"/>
          <w:szCs w:val="32"/>
          <w:lang w:eastAsia="zh-CN"/>
        </w:rPr>
        <w:t>至“金额单位：元</w:t>
      </w:r>
      <w:r>
        <w:rPr>
          <w:rFonts w:hint="eastAsia" w:ascii="仿宋_GB2312" w:hAnsi="仿宋_GB2312" w:eastAsia="仿宋_GB2312" w:cs="仿宋_GB2312"/>
          <w:sz w:val="32"/>
          <w:szCs w:val="32"/>
        </w:rPr>
        <w:t>”，而</w:t>
      </w:r>
      <w:r>
        <w:rPr>
          <w:rFonts w:hint="eastAsia" w:ascii="仿宋_GB2312" w:hAnsi="仿宋_GB2312" w:eastAsia="仿宋_GB2312" w:cs="仿宋_GB2312"/>
          <w:sz w:val="32"/>
          <w:szCs w:val="32"/>
          <w:lang w:eastAsia="zh-CN"/>
        </w:rPr>
        <w:t>本套部门决算文字说明</w:t>
      </w:r>
      <w:r>
        <w:rPr>
          <w:rFonts w:hint="eastAsia" w:ascii="仿宋_GB2312" w:hAnsi="仿宋_GB2312" w:eastAsia="仿宋_GB2312" w:cs="仿宋_GB2312"/>
          <w:sz w:val="32"/>
          <w:szCs w:val="32"/>
        </w:rPr>
        <w:t>和公开表格</w:t>
      </w:r>
      <w:r>
        <w:rPr>
          <w:rFonts w:hint="eastAsia" w:ascii="仿宋_GB2312" w:hAnsi="仿宋_GB2312" w:eastAsia="仿宋_GB2312" w:cs="仿宋_GB2312"/>
          <w:sz w:val="32"/>
          <w:szCs w:val="32"/>
          <w:lang w:eastAsia="zh-CN"/>
        </w:rPr>
        <w:t>数据</w:t>
      </w:r>
      <w:r>
        <w:rPr>
          <w:rFonts w:hint="eastAsia" w:ascii="仿宋_GB2312" w:hAnsi="仿宋_GB2312" w:eastAsia="仿宋_GB2312" w:cs="仿宋_GB2312"/>
          <w:sz w:val="32"/>
          <w:szCs w:val="32"/>
        </w:rPr>
        <w:t>取数</w:t>
      </w:r>
      <w:r>
        <w:rPr>
          <w:rFonts w:hint="eastAsia" w:ascii="仿宋_GB2312" w:hAnsi="仿宋_GB2312" w:eastAsia="仿宋_GB2312" w:cs="仿宋_GB2312"/>
          <w:sz w:val="32"/>
          <w:szCs w:val="32"/>
          <w:lang w:eastAsia="zh-CN"/>
        </w:rPr>
        <w:t>转换为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金额单位：</w:t>
      </w:r>
      <w:r>
        <w:rPr>
          <w:rFonts w:hint="eastAsia" w:ascii="仿宋_GB2312" w:hAnsi="仿宋_GB2312" w:eastAsia="仿宋_GB2312" w:cs="仿宋_GB2312"/>
          <w:sz w:val="32"/>
          <w:szCs w:val="32"/>
        </w:rPr>
        <w:t>万元”，可能导致</w:t>
      </w:r>
      <w:r>
        <w:rPr>
          <w:rFonts w:hint="eastAsia" w:ascii="仿宋_GB2312" w:hAnsi="仿宋_GB2312" w:eastAsia="仿宋_GB2312" w:cs="仿宋_GB2312"/>
          <w:sz w:val="32"/>
          <w:szCs w:val="32"/>
          <w:lang w:eastAsia="zh-CN"/>
        </w:rPr>
        <w:t>以下文字说明中的各项数据取数以及公开</w:t>
      </w:r>
      <w:r>
        <w:rPr>
          <w:rFonts w:hint="eastAsia" w:ascii="仿宋_GB2312" w:hAnsi="仿宋_GB2312" w:eastAsia="仿宋_GB2312" w:cs="仿宋_GB2312"/>
          <w:sz w:val="32"/>
          <w:szCs w:val="32"/>
        </w:rPr>
        <w:t>表格</w:t>
      </w:r>
      <w:r>
        <w:rPr>
          <w:rFonts w:hint="eastAsia" w:ascii="仿宋_GB2312" w:hAnsi="仿宋_GB2312" w:eastAsia="仿宋_GB2312" w:cs="仿宋_GB2312"/>
          <w:sz w:val="32"/>
          <w:szCs w:val="32"/>
          <w:lang w:eastAsia="zh-CN"/>
        </w:rPr>
        <w:t>中的各项数据取数之间存在</w:t>
      </w:r>
      <w:r>
        <w:rPr>
          <w:rFonts w:hint="eastAsia" w:ascii="仿宋_GB2312" w:hAnsi="仿宋_GB2312" w:eastAsia="仿宋_GB2312" w:cs="仿宋_GB2312"/>
          <w:sz w:val="32"/>
          <w:szCs w:val="32"/>
        </w:rPr>
        <w:t>0.01的尾数差异。</w:t>
      </w:r>
      <w:r>
        <w:rPr>
          <w:rFonts w:hint="eastAsia" w:ascii="仿宋_GB2312" w:hAnsi="仿宋_GB2312" w:eastAsia="仿宋_GB2312" w:cs="仿宋_GB2312"/>
          <w:sz w:val="32"/>
          <w:szCs w:val="32"/>
          <w:lang w:val="en-US" w:eastAsia="zh-CN"/>
        </w:rPr>
        <w:t>2、以下文字说明中，部分科目由于预算数为0，无法计算完成年初预算的百分比，故未描述“</w:t>
      </w:r>
      <w:r>
        <w:rPr>
          <w:rFonts w:hint="eastAsia" w:ascii="仿宋_GB2312" w:hAnsi="仿宋_GB2312" w:eastAsia="仿宋_GB2312" w:cs="仿宋_GB2312"/>
          <w:sz w:val="32"/>
          <w:szCs w:val="32"/>
        </w:rPr>
        <w:t>完成年初预算的XX%</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一、收入支出决算总体情况说明</w:t>
      </w:r>
    </w:p>
    <w:p>
      <w:pPr>
        <w:pStyle w:val="12"/>
        <w:ind w:firstLine="640" w:firstLineChars="200"/>
        <w:rPr>
          <w:rFonts w:hint="eastAsia" w:ascii="仿宋_GB2312" w:hAnsi="仿宋_GB2312" w:eastAsia="仿宋_GB2312" w:cs="仿宋_GB2312"/>
          <w:i/>
          <w:iCs/>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年度收、支总计</w:t>
      </w:r>
      <w:r>
        <w:rPr>
          <w:rFonts w:hint="eastAsia" w:ascii="仿宋_GB2312" w:hAnsi="仿宋_GB2312" w:eastAsia="仿宋_GB2312" w:cs="仿宋_GB2312"/>
          <w:sz w:val="32"/>
          <w:szCs w:val="32"/>
          <w:lang w:val="en-US" w:eastAsia="zh-CN"/>
        </w:rPr>
        <w:t>23982.71</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3779.45</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18.7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主要是因为</w:t>
      </w:r>
      <w:r>
        <w:rPr>
          <w:rFonts w:hint="eastAsia" w:ascii="仿宋_GB2312" w:hAnsi="仿宋_GB2312" w:eastAsia="仿宋_GB2312" w:cs="仿宋_GB2312"/>
          <w:sz w:val="32"/>
          <w:szCs w:val="32"/>
          <w:highlight w:val="none"/>
          <w:lang w:val="en-US" w:eastAsia="zh-CN"/>
        </w:rPr>
        <w:t>2024年财政拨款支出增加了智能交通项目建设资金。</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二、收入决算情况说明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年度收入合计</w:t>
      </w:r>
      <w:r>
        <w:rPr>
          <w:rFonts w:hint="eastAsia" w:ascii="仿宋_GB2312" w:hAnsi="仿宋_GB2312" w:eastAsia="仿宋_GB2312" w:cs="仿宋_GB2312"/>
          <w:sz w:val="32"/>
          <w:szCs w:val="32"/>
          <w:lang w:val="en-US" w:eastAsia="zh-CN"/>
        </w:rPr>
        <w:t>23982.71</w:t>
      </w:r>
      <w:r>
        <w:rPr>
          <w:rFonts w:hint="eastAsia" w:ascii="仿宋_GB2312" w:hAnsi="仿宋_GB2312" w:eastAsia="仿宋_GB2312" w:cs="仿宋_GB2312"/>
          <w:sz w:val="32"/>
          <w:szCs w:val="32"/>
        </w:rPr>
        <w:t>万元，其中：财政拨款收入</w:t>
      </w:r>
      <w:r>
        <w:rPr>
          <w:rFonts w:hint="eastAsia" w:ascii="仿宋_GB2312" w:hAnsi="仿宋_GB2312" w:eastAsia="仿宋_GB2312" w:cs="仿宋_GB2312"/>
          <w:sz w:val="32"/>
          <w:szCs w:val="32"/>
          <w:lang w:val="en-US" w:eastAsia="zh-CN"/>
        </w:rPr>
        <w:t>23768.24</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99.11</w:t>
      </w:r>
      <w:r>
        <w:rPr>
          <w:rFonts w:hint="eastAsia" w:ascii="仿宋_GB2312" w:hAnsi="仿宋_GB2312" w:eastAsia="仿宋_GB2312" w:cs="仿宋_GB2312"/>
          <w:sz w:val="32"/>
          <w:szCs w:val="32"/>
        </w:rPr>
        <w:t>%；上级补助收入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%；事业收入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%；附属单位上缴收入</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%；其他收入</w:t>
      </w:r>
      <w:r>
        <w:rPr>
          <w:rFonts w:hint="eastAsia" w:ascii="仿宋_GB2312" w:hAnsi="仿宋_GB2312" w:eastAsia="仿宋_GB2312" w:cs="仿宋_GB2312"/>
          <w:sz w:val="32"/>
          <w:szCs w:val="32"/>
          <w:lang w:val="en-US" w:eastAsia="zh-CN"/>
        </w:rPr>
        <w:t>214.47</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0.89</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三、支出决算情况说明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年度支出合计</w:t>
      </w:r>
      <w:r>
        <w:rPr>
          <w:rFonts w:hint="eastAsia" w:ascii="仿宋_GB2312" w:hAnsi="仿宋_GB2312" w:eastAsia="仿宋_GB2312" w:cs="仿宋_GB2312"/>
          <w:sz w:val="32"/>
          <w:szCs w:val="32"/>
          <w:lang w:val="en-US" w:eastAsia="zh-CN"/>
        </w:rPr>
        <w:t>23982.71</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12600.58</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52.54</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11382.13</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47.46</w:t>
      </w:r>
      <w:r>
        <w:rPr>
          <w:rFonts w:hint="eastAsia" w:ascii="仿宋_GB2312" w:hAnsi="仿宋_GB2312" w:eastAsia="仿宋_GB2312" w:cs="仿宋_GB2312"/>
          <w:sz w:val="32"/>
          <w:szCs w:val="32"/>
        </w:rPr>
        <w:t>%；上缴上级支出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%；经营支出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%；对附属单位补助支出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四、财政拨款收入支出决算总体情况说明</w:t>
      </w:r>
    </w:p>
    <w:p>
      <w:pPr>
        <w:pStyle w:val="12"/>
        <w:ind w:firstLine="640" w:firstLineChars="200"/>
        <w:rPr>
          <w:rFonts w:hint="default" w:ascii="楷体" w:hAnsi="楷体" w:eastAsia="楷体" w:cs="楷体"/>
          <w:i/>
          <w:iCs/>
          <w:color w:val="000000"/>
          <w:kern w:val="0"/>
          <w:sz w:val="32"/>
          <w:szCs w:val="32"/>
          <w:lang w:val="en-US" w:eastAsia="zh-CN" w:bidi="ar-SA"/>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年度财政拨款收、支总计</w:t>
      </w:r>
      <w:r>
        <w:rPr>
          <w:rFonts w:hint="eastAsia" w:ascii="仿宋_GB2312" w:hAnsi="仿宋_GB2312" w:eastAsia="仿宋_GB2312" w:cs="仿宋_GB2312"/>
          <w:sz w:val="32"/>
          <w:szCs w:val="32"/>
          <w:lang w:val="en-US" w:eastAsia="zh-CN"/>
        </w:rPr>
        <w:t>23768.24</w:t>
      </w:r>
      <w:r>
        <w:rPr>
          <w:rFonts w:hint="eastAsia" w:ascii="仿宋_GB2312" w:hAnsi="仿宋_GB2312" w:eastAsia="仿宋_GB2312" w:cs="仿宋_GB2312"/>
          <w:sz w:val="32"/>
          <w:szCs w:val="32"/>
        </w:rPr>
        <w:t>万元，与上年相比，增加</w:t>
      </w:r>
      <w:r>
        <w:rPr>
          <w:rFonts w:hint="eastAsia" w:ascii="仿宋_GB2312" w:hAnsi="仿宋_GB2312" w:eastAsia="仿宋_GB2312" w:cs="仿宋_GB2312"/>
          <w:sz w:val="32"/>
          <w:szCs w:val="32"/>
          <w:lang w:val="en-US" w:eastAsia="zh-CN"/>
        </w:rPr>
        <w:t>3727.15</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18.6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主要是因为</w:t>
      </w:r>
      <w:r>
        <w:rPr>
          <w:rFonts w:hint="eastAsia" w:ascii="仿宋_GB2312" w:hAnsi="仿宋_GB2312" w:eastAsia="仿宋_GB2312" w:cs="仿宋_GB2312"/>
          <w:sz w:val="32"/>
          <w:szCs w:val="32"/>
          <w:highlight w:val="none"/>
          <w:lang w:val="en-US" w:eastAsia="zh-CN"/>
        </w:rPr>
        <w:t>2024年财政拨款支出增加了智能交通项目建设资金。</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五、一般公共预算财政拨款支出决算情况说明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（一）一般公共预算财政拨款支出决算总体情况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i/>
          <w:iCs/>
          <w:color w:val="FF0000"/>
          <w:sz w:val="32"/>
          <w:szCs w:val="32"/>
          <w:lang w:eastAsia="zh-CN"/>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23768.24</w:t>
      </w:r>
      <w:r>
        <w:rPr>
          <w:rFonts w:hint="eastAsia" w:ascii="仿宋_GB2312" w:hAnsi="仿宋_GB2312" w:eastAsia="仿宋_GB2312" w:cs="仿宋_GB2312"/>
          <w:sz w:val="32"/>
          <w:szCs w:val="32"/>
        </w:rPr>
        <w:t>万元，占本年支出合计的</w:t>
      </w:r>
      <w:r>
        <w:rPr>
          <w:rFonts w:hint="eastAsia" w:ascii="仿宋_GB2312" w:hAnsi="仿宋_GB2312" w:eastAsia="仿宋_GB2312" w:cs="仿宋_GB2312"/>
          <w:sz w:val="32"/>
          <w:szCs w:val="32"/>
          <w:lang w:val="en-US" w:eastAsia="zh-CN"/>
        </w:rPr>
        <w:t>99.11</w:t>
      </w:r>
      <w:r>
        <w:rPr>
          <w:rFonts w:hint="eastAsia" w:ascii="仿宋_GB2312" w:hAnsi="仿宋_GB2312" w:eastAsia="仿宋_GB2312" w:cs="仿宋_GB2312"/>
          <w:sz w:val="32"/>
          <w:szCs w:val="32"/>
        </w:rPr>
        <w:t>%，与上年相比，财政拨款支出增加</w:t>
      </w:r>
      <w:r>
        <w:rPr>
          <w:rFonts w:hint="eastAsia" w:ascii="仿宋_GB2312" w:hAnsi="仿宋_GB2312" w:eastAsia="仿宋_GB2312" w:cs="仿宋_GB2312"/>
          <w:sz w:val="32"/>
          <w:szCs w:val="32"/>
          <w:lang w:val="en-US" w:eastAsia="zh-CN"/>
        </w:rPr>
        <w:t>3727.15</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18.6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主要是因为</w:t>
      </w:r>
      <w:r>
        <w:rPr>
          <w:rFonts w:hint="eastAsia" w:ascii="仿宋_GB2312" w:hAnsi="仿宋_GB2312" w:eastAsia="仿宋_GB2312" w:cs="仿宋_GB2312"/>
          <w:sz w:val="32"/>
          <w:szCs w:val="32"/>
          <w:highlight w:val="none"/>
          <w:lang w:val="en-US" w:eastAsia="zh-CN"/>
        </w:rPr>
        <w:t>2024年财政拨款支出增加了智能交通项目建设资金。</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（二）一般公共预算财政拨款支出决算结构情况</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w:t>
      </w:r>
      <w:r>
        <w:rPr>
          <w:rFonts w:hint="eastAsia" w:ascii="仿宋_GB2312" w:hAnsi="仿宋_GB2312" w:eastAsia="仿宋_GB2312" w:cs="仿宋_GB2312"/>
          <w:sz w:val="32"/>
          <w:szCs w:val="32"/>
          <w:lang w:val="en-US" w:eastAsia="zh-CN"/>
        </w:rPr>
        <w:t>23768.24</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sz w:val="32"/>
          <w:szCs w:val="32"/>
          <w:highlight w:val="none"/>
          <w:lang w:val="en-US" w:eastAsia="zh-CN"/>
        </w:rPr>
        <w:t>公共安全支出21937.72万元，</w:t>
      </w:r>
      <w:r>
        <w:rPr>
          <w:rFonts w:hint="eastAsia" w:ascii="仿宋_GB2312" w:hAnsi="仿宋_GB2312" w:eastAsia="仿宋_GB2312" w:cs="仿宋_GB2312"/>
          <w:color w:val="auto"/>
          <w:sz w:val="32"/>
          <w:szCs w:val="32"/>
          <w:highlight w:val="none"/>
        </w:rPr>
        <w:t>占</w:t>
      </w:r>
      <w:r>
        <w:rPr>
          <w:rFonts w:hint="eastAsia" w:ascii="仿宋_GB2312" w:hAnsi="仿宋_GB2312" w:eastAsia="仿宋_GB2312" w:cs="仿宋_GB2312"/>
          <w:color w:val="auto"/>
          <w:sz w:val="32"/>
          <w:szCs w:val="32"/>
          <w:highlight w:val="none"/>
          <w:lang w:val="en-US" w:eastAsia="zh-CN"/>
        </w:rPr>
        <w:t>92.3</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sz w:val="32"/>
          <w:szCs w:val="32"/>
          <w:highlight w:val="none"/>
          <w:lang w:eastAsia="zh-CN"/>
        </w:rPr>
        <w:t>；社会保障和就业支出</w:t>
      </w:r>
      <w:r>
        <w:rPr>
          <w:rFonts w:hint="eastAsia" w:ascii="仿宋_GB2312" w:hAnsi="仿宋_GB2312" w:eastAsia="仿宋_GB2312" w:cs="仿宋_GB2312"/>
          <w:sz w:val="32"/>
          <w:szCs w:val="32"/>
          <w:highlight w:val="none"/>
          <w:lang w:val="en-US" w:eastAsia="zh-CN"/>
        </w:rPr>
        <w:t>705.84万元，</w:t>
      </w:r>
      <w:r>
        <w:rPr>
          <w:rFonts w:hint="eastAsia" w:ascii="仿宋_GB2312" w:hAnsi="仿宋_GB2312" w:eastAsia="仿宋_GB2312" w:cs="仿宋_GB2312"/>
          <w:sz w:val="32"/>
          <w:szCs w:val="32"/>
          <w:highlight w:val="none"/>
        </w:rPr>
        <w:t>占</w:t>
      </w:r>
      <w:r>
        <w:rPr>
          <w:rFonts w:hint="eastAsia" w:ascii="仿宋_GB2312" w:hAnsi="仿宋_GB2312" w:eastAsia="仿宋_GB2312" w:cs="仿宋_GB2312"/>
          <w:sz w:val="32"/>
          <w:szCs w:val="32"/>
          <w:highlight w:val="none"/>
          <w:lang w:val="en-US" w:eastAsia="zh-CN"/>
        </w:rPr>
        <w:t>2.97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；卫生健康支出</w:t>
      </w:r>
      <w:r>
        <w:rPr>
          <w:rFonts w:hint="eastAsia" w:ascii="仿宋_GB2312" w:hAnsi="仿宋_GB2312" w:eastAsia="仿宋_GB2312" w:cs="仿宋_GB2312"/>
          <w:sz w:val="32"/>
          <w:szCs w:val="32"/>
          <w:highlight w:val="none"/>
          <w:lang w:val="en-US" w:eastAsia="zh-CN"/>
        </w:rPr>
        <w:t>443.65万元，</w:t>
      </w:r>
      <w:r>
        <w:rPr>
          <w:rFonts w:hint="eastAsia" w:ascii="仿宋_GB2312" w:hAnsi="仿宋_GB2312" w:eastAsia="仿宋_GB2312" w:cs="仿宋_GB2312"/>
          <w:sz w:val="32"/>
          <w:szCs w:val="32"/>
          <w:highlight w:val="none"/>
        </w:rPr>
        <w:t>占</w:t>
      </w:r>
      <w:r>
        <w:rPr>
          <w:rFonts w:hint="eastAsia" w:ascii="仿宋_GB2312" w:hAnsi="仿宋_GB2312" w:eastAsia="仿宋_GB2312" w:cs="仿宋_GB2312"/>
          <w:sz w:val="32"/>
          <w:szCs w:val="32"/>
          <w:highlight w:val="none"/>
          <w:lang w:val="en-US" w:eastAsia="zh-CN"/>
        </w:rPr>
        <w:t>1.87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；城乡社区支出</w:t>
      </w:r>
      <w:r>
        <w:rPr>
          <w:rFonts w:hint="eastAsia" w:ascii="仿宋_GB2312" w:hAnsi="仿宋_GB2312" w:eastAsia="仿宋_GB2312" w:cs="仿宋_GB2312"/>
          <w:sz w:val="32"/>
          <w:szCs w:val="32"/>
          <w:highlight w:val="none"/>
          <w:lang w:val="en-US" w:eastAsia="zh-CN"/>
        </w:rPr>
        <w:t>192.88万元，</w:t>
      </w:r>
      <w:r>
        <w:rPr>
          <w:rFonts w:hint="eastAsia" w:ascii="仿宋_GB2312" w:hAnsi="仿宋_GB2312" w:eastAsia="仿宋_GB2312" w:cs="仿宋_GB2312"/>
          <w:sz w:val="32"/>
          <w:szCs w:val="32"/>
          <w:highlight w:val="none"/>
        </w:rPr>
        <w:t>占</w:t>
      </w:r>
      <w:r>
        <w:rPr>
          <w:rFonts w:hint="eastAsia" w:ascii="仿宋_GB2312" w:hAnsi="仿宋_GB2312" w:eastAsia="仿宋_GB2312" w:cs="仿宋_GB2312"/>
          <w:sz w:val="32"/>
          <w:szCs w:val="32"/>
          <w:highlight w:val="none"/>
          <w:lang w:val="en-US" w:eastAsia="zh-CN"/>
        </w:rPr>
        <w:t>0.81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；住房保障支出</w:t>
      </w:r>
      <w:r>
        <w:rPr>
          <w:rFonts w:hint="eastAsia" w:ascii="仿宋_GB2312" w:hAnsi="仿宋_GB2312" w:eastAsia="仿宋_GB2312" w:cs="仿宋_GB2312"/>
          <w:sz w:val="32"/>
          <w:szCs w:val="32"/>
          <w:highlight w:val="none"/>
          <w:lang w:val="en-US" w:eastAsia="zh-CN"/>
        </w:rPr>
        <w:t>488.15万元，</w:t>
      </w:r>
      <w:r>
        <w:rPr>
          <w:rFonts w:hint="eastAsia" w:ascii="仿宋_GB2312" w:hAnsi="仿宋_GB2312" w:eastAsia="仿宋_GB2312" w:cs="仿宋_GB2312"/>
          <w:sz w:val="32"/>
          <w:szCs w:val="32"/>
          <w:highlight w:val="none"/>
        </w:rPr>
        <w:t>占</w:t>
      </w:r>
      <w:r>
        <w:rPr>
          <w:rFonts w:hint="eastAsia" w:ascii="仿宋_GB2312" w:hAnsi="仿宋_GB2312" w:eastAsia="仿宋_GB2312" w:cs="仿宋_GB2312"/>
          <w:sz w:val="32"/>
          <w:szCs w:val="32"/>
          <w:highlight w:val="none"/>
          <w:lang w:val="en-US" w:eastAsia="zh-CN"/>
        </w:rPr>
        <w:t>2.05</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（三）一般公共预算财政拨款支出决算具体情况</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年度财政拨款支出年初预算数为</w:t>
      </w:r>
      <w:r>
        <w:rPr>
          <w:rFonts w:hint="eastAsia" w:ascii="仿宋_GB2312" w:hAnsi="仿宋_GB2312" w:eastAsia="仿宋_GB2312" w:cs="仿宋_GB2312"/>
          <w:sz w:val="32"/>
          <w:szCs w:val="32"/>
          <w:lang w:val="en-US" w:eastAsia="zh-CN"/>
        </w:rPr>
        <w:t>18767.99</w:t>
      </w:r>
      <w:r>
        <w:rPr>
          <w:rFonts w:hint="eastAsia" w:ascii="仿宋_GB2312" w:hAnsi="仿宋_GB2312" w:eastAsia="仿宋_GB2312" w:cs="仿宋_GB2312"/>
          <w:sz w:val="32"/>
          <w:szCs w:val="32"/>
        </w:rPr>
        <w:t>万元，支出决算数为</w:t>
      </w:r>
      <w:r>
        <w:rPr>
          <w:rFonts w:hint="eastAsia" w:ascii="仿宋_GB2312" w:hAnsi="仿宋_GB2312" w:eastAsia="仿宋_GB2312" w:cs="仿宋_GB2312"/>
          <w:sz w:val="32"/>
          <w:szCs w:val="32"/>
          <w:lang w:val="en-US" w:eastAsia="zh-CN"/>
        </w:rPr>
        <w:t>23768.24</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126.64</w:t>
      </w:r>
      <w:r>
        <w:rPr>
          <w:rFonts w:hint="eastAsia" w:ascii="仿宋_GB2312" w:hAnsi="仿宋_GB2312" w:eastAsia="仿宋_GB2312" w:cs="仿宋_GB2312"/>
          <w:sz w:val="32"/>
          <w:szCs w:val="32"/>
        </w:rPr>
        <w:t>%，其中：</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1、一般公共服务（类）</w:t>
      </w:r>
      <w:r>
        <w:rPr>
          <w:rFonts w:hint="eastAsia" w:ascii="仿宋_GB2312" w:hAnsi="仿宋_GB2312" w:eastAsia="仿宋_GB2312" w:cs="仿宋_GB2312"/>
          <w:sz w:val="32"/>
          <w:szCs w:val="32"/>
          <w:lang w:val="en-US" w:eastAsia="zh-CN"/>
        </w:rPr>
        <w:t>公安</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行政运行</w:t>
      </w:r>
      <w:r>
        <w:rPr>
          <w:rFonts w:hint="eastAsia" w:ascii="仿宋_GB2312" w:hAnsi="仿宋_GB2312" w:eastAsia="仿宋_GB2312" w:cs="仿宋_GB2312"/>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lang w:val="en-US"/>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8009.55</w:t>
      </w:r>
      <w:r>
        <w:rPr>
          <w:rFonts w:hint="eastAsia" w:ascii="仿宋_GB2312" w:hAnsi="仿宋_GB2312" w:eastAsia="仿宋_GB2312" w:cs="仿宋_GB2312"/>
          <w:sz w:val="32"/>
          <w:szCs w:val="32"/>
        </w:rPr>
        <w:t>万元，支出决算为8666.9万元，完成年初预算的</w:t>
      </w:r>
      <w:r>
        <w:rPr>
          <w:rFonts w:hint="eastAsia" w:ascii="仿宋_GB2312" w:hAnsi="仿宋_GB2312" w:eastAsia="仿宋_GB2312" w:cs="仿宋_GB2312"/>
          <w:sz w:val="32"/>
          <w:szCs w:val="32"/>
          <w:lang w:val="en-US" w:eastAsia="zh-CN"/>
        </w:rPr>
        <w:t>108.21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决算数大于年初预算数的主要原因是：</w:t>
      </w:r>
      <w:r>
        <w:rPr>
          <w:rFonts w:hint="eastAsia" w:ascii="仿宋_GB2312" w:hAnsi="仿宋_GB2312" w:eastAsia="仿宋_GB2312" w:cs="仿宋_GB2312"/>
          <w:sz w:val="32"/>
          <w:szCs w:val="32"/>
          <w:highlight w:val="none"/>
          <w:lang w:val="en-US" w:eastAsia="zh-CN"/>
        </w:rPr>
        <w:t>财政后期追加预算经费。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2、一般公共服务（类）</w:t>
      </w:r>
      <w:r>
        <w:rPr>
          <w:rFonts w:hint="eastAsia" w:ascii="仿宋_GB2312" w:hAnsi="仿宋_GB2312" w:eastAsia="仿宋_GB2312" w:cs="仿宋_GB2312"/>
          <w:sz w:val="32"/>
          <w:szCs w:val="32"/>
          <w:lang w:val="en-US" w:eastAsia="zh-CN"/>
        </w:rPr>
        <w:t>公安</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一般行政管理事务</w:t>
      </w:r>
      <w:r>
        <w:rPr>
          <w:rFonts w:hint="eastAsia" w:ascii="仿宋_GB2312" w:hAnsi="仿宋_GB2312" w:eastAsia="仿宋_GB2312" w:cs="仿宋_GB2312"/>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939.93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rPr>
        <w:t>，决算数大于年初预算数的主要原因是：</w:t>
      </w:r>
      <w:r>
        <w:rPr>
          <w:rFonts w:hint="eastAsia" w:ascii="仿宋_GB2312" w:hAnsi="仿宋_GB2312" w:eastAsia="仿宋_GB2312" w:cs="仿宋_GB2312"/>
          <w:sz w:val="32"/>
          <w:szCs w:val="32"/>
          <w:highlight w:val="none"/>
          <w:lang w:val="en-US" w:eastAsia="zh-CN"/>
        </w:rPr>
        <w:t>财政后期追加转移支付资金等。</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val="en-US" w:eastAsia="zh-CN"/>
        </w:rPr>
        <w:t>公安</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执法办案</w:t>
      </w:r>
      <w:r>
        <w:rPr>
          <w:rFonts w:hint="eastAsia" w:ascii="仿宋_GB2312" w:hAnsi="仿宋_GB2312" w:eastAsia="仿宋_GB2312" w:cs="仿宋_GB2312"/>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Times New Roman" w:hAnsi="Times New Roman" w:eastAsia="仿宋_GB2312"/>
          <w:sz w:val="32"/>
          <w:szCs w:val="32"/>
          <w:highlight w:val="none"/>
          <w:lang w:val="en-US" w:eastAsia="zh-CN"/>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9012.56</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6408.09</w:t>
      </w:r>
      <w:r>
        <w:rPr>
          <w:rFonts w:hint="eastAsia" w:ascii="仿宋_GB2312" w:hAnsi="仿宋_GB2312" w:eastAsia="仿宋_GB2312" w:cs="仿宋_GB2312"/>
          <w:sz w:val="32"/>
          <w:szCs w:val="32"/>
        </w:rPr>
        <w:t>万元，完成年初预算的</w:t>
      </w:r>
      <w:r>
        <w:rPr>
          <w:rFonts w:hint="eastAsia" w:ascii="仿宋_GB2312" w:hAnsi="仿宋_GB2312" w:eastAsia="仿宋_GB2312" w:cs="仿宋_GB2312"/>
          <w:sz w:val="32"/>
          <w:szCs w:val="32"/>
          <w:lang w:val="en-US" w:eastAsia="zh-CN"/>
        </w:rPr>
        <w:t>71.1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highlight w:val="none"/>
        </w:rPr>
        <w:t>决算数小于年初预算数的主要原因是：</w:t>
      </w:r>
      <w:r>
        <w:rPr>
          <w:rFonts w:hint="eastAsia" w:ascii="Times New Roman" w:hAnsi="Times New Roman" w:eastAsia="仿宋_GB2312"/>
          <w:sz w:val="32"/>
          <w:szCs w:val="32"/>
          <w:highlight w:val="none"/>
          <w:lang w:val="en-US" w:eastAsia="zh-CN"/>
        </w:rPr>
        <w:t>年初预算中的办案费、非税收入征管经费以及部分偿还智能交通建设款（审批专项）未下达。</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、一般公共服务（类）</w:t>
      </w:r>
      <w:r>
        <w:rPr>
          <w:rFonts w:hint="eastAsia" w:ascii="仿宋_GB2312" w:hAnsi="仿宋_GB2312" w:eastAsia="仿宋_GB2312" w:cs="仿宋_GB2312"/>
          <w:sz w:val="32"/>
          <w:szCs w:val="32"/>
          <w:lang w:val="en-US" w:eastAsia="zh-CN"/>
        </w:rPr>
        <w:t>公安</w:t>
      </w:r>
      <w:r>
        <w:rPr>
          <w:rFonts w:hint="eastAsia" w:ascii="仿宋_GB2312" w:hAnsi="仿宋_GB2312" w:eastAsia="仿宋_GB2312" w:cs="仿宋_GB2312"/>
          <w:sz w:val="32"/>
          <w:szCs w:val="32"/>
        </w:rPr>
        <w:t>（款）</w:t>
      </w:r>
      <w:r>
        <w:rPr>
          <w:rFonts w:hint="eastAsia" w:ascii="仿宋_GB2312" w:hAnsi="仿宋_GB2312" w:eastAsia="仿宋_GB2312" w:cs="仿宋_GB2312"/>
          <w:sz w:val="32"/>
          <w:szCs w:val="32"/>
          <w:lang w:val="en-US" w:eastAsia="zh-CN"/>
        </w:rPr>
        <w:t>其他公安支出</w:t>
      </w:r>
      <w:r>
        <w:rPr>
          <w:rFonts w:hint="eastAsia" w:ascii="仿宋_GB2312" w:hAnsi="仿宋_GB2312" w:eastAsia="仿宋_GB2312" w:cs="仿宋_GB2312"/>
          <w:sz w:val="32"/>
          <w:szCs w:val="32"/>
        </w:rPr>
        <w:t>（项）。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年初预算为</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万元，支出决算为</w:t>
      </w:r>
      <w:r>
        <w:rPr>
          <w:rFonts w:hint="eastAsia" w:ascii="仿宋_GB2312" w:hAnsi="仿宋_GB2312" w:eastAsia="仿宋_GB2312" w:cs="仿宋_GB2312"/>
          <w:sz w:val="32"/>
          <w:szCs w:val="32"/>
          <w:lang w:val="en-US" w:eastAsia="zh-CN"/>
        </w:rPr>
        <w:t>5922.79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rPr>
        <w:t>决算数大于年初预算数的主要原因是：</w:t>
      </w:r>
      <w:r>
        <w:rPr>
          <w:rFonts w:hint="eastAsia" w:ascii="Times New Roman" w:hAnsi="Times New Roman" w:eastAsia="仿宋_GB2312"/>
          <w:color w:val="auto"/>
          <w:sz w:val="32"/>
          <w:szCs w:val="32"/>
          <w:highlight w:val="none"/>
          <w:lang w:val="en-US" w:eastAsia="zh-CN"/>
        </w:rPr>
        <w:t>财政后期其他资金追加以及上年结余结转资金等。</w:t>
      </w:r>
    </w:p>
    <w:p>
      <w:pPr>
        <w:pStyle w:val="12"/>
        <w:keepNext w:val="0"/>
        <w:keepLines w:val="0"/>
        <w:pageBreakBefore w:val="0"/>
        <w:widowControl w:val="0"/>
        <w:numPr>
          <w:ilvl w:val="0"/>
          <w:numId w:val="0"/>
        </w:numPr>
        <w:kinsoku/>
        <w:wordWrap/>
        <w:overflowPunct/>
        <w:topLinePunct w:val="0"/>
        <w:bidi w:val="0"/>
        <w:snapToGrid/>
        <w:spacing w:line="600" w:lineRule="exact"/>
        <w:ind w:firstLine="960" w:firstLineChars="300"/>
        <w:textAlignment w:val="auto"/>
        <w:rPr>
          <w:rFonts w:hint="eastAsia" w:ascii="Times New Roman" w:hAnsi="Times New Roman" w:eastAsia="仿宋_GB2312"/>
          <w:sz w:val="32"/>
          <w:szCs w:val="32"/>
          <w:highlight w:val="none"/>
          <w:lang w:val="en-US" w:eastAsia="zh-CN"/>
        </w:rPr>
      </w:pPr>
      <w:r>
        <w:rPr>
          <w:rFonts w:hint="eastAsia" w:ascii="仿宋_GB2312" w:hAnsi="仿宋_GB2312" w:eastAsia="仿宋_GB2312" w:cs="仿宋_GB2312"/>
          <w:sz w:val="32"/>
          <w:szCs w:val="32"/>
          <w:lang w:val="en-US" w:eastAsia="zh-CN"/>
        </w:rPr>
        <w:t>5、</w:t>
      </w:r>
      <w:r>
        <w:rPr>
          <w:rFonts w:hint="eastAsia" w:ascii="Times New Roman" w:hAnsi="Times New Roman" w:eastAsia="仿宋_GB2312"/>
          <w:sz w:val="32"/>
          <w:szCs w:val="32"/>
          <w:highlight w:val="none"/>
          <w:lang w:val="en-US" w:eastAsia="zh-CN"/>
        </w:rPr>
        <w:t>社会保障和就业支出（类）行政事业单位养老支出（款）机关事业单位基本养老保险缴费支出（项）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highlight w:val="yellow"/>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674.78</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681.79</w:t>
      </w:r>
      <w:r>
        <w:rPr>
          <w:rFonts w:hint="eastAsia" w:ascii="Times New Roman" w:hAnsi="Times New Roman" w:eastAsia="仿宋_GB2312"/>
          <w:sz w:val="32"/>
          <w:szCs w:val="32"/>
          <w:highlight w:val="none"/>
        </w:rPr>
        <w:t>万元，</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val="en-US" w:eastAsia="zh-CN"/>
        </w:rPr>
        <w:t>101.04</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highlight w:val="none"/>
        </w:rPr>
        <w:t>决算数</w:t>
      </w:r>
      <w:r>
        <w:rPr>
          <w:rFonts w:hint="eastAsia" w:ascii="仿宋_GB2312" w:hAnsi="仿宋_GB2312" w:eastAsia="仿宋_GB2312" w:cs="仿宋_GB2312"/>
          <w:sz w:val="32"/>
          <w:szCs w:val="32"/>
          <w:highlight w:val="none"/>
          <w:lang w:val="en-US" w:eastAsia="zh-CN"/>
        </w:rPr>
        <w:t>大</w:t>
      </w:r>
      <w:r>
        <w:rPr>
          <w:rFonts w:hint="eastAsia" w:ascii="仿宋_GB2312" w:hAnsi="仿宋_GB2312" w:eastAsia="仿宋_GB2312" w:cs="仿宋_GB2312"/>
          <w:sz w:val="32"/>
          <w:szCs w:val="32"/>
          <w:highlight w:val="none"/>
        </w:rPr>
        <w:t>于年初预算数的主要原因是：</w:t>
      </w:r>
      <w:r>
        <w:rPr>
          <w:rFonts w:hint="eastAsia" w:ascii="仿宋_GB2312" w:hAnsi="仿宋_GB2312" w:eastAsia="仿宋_GB2312" w:cs="仿宋_GB2312"/>
          <w:sz w:val="32"/>
          <w:szCs w:val="32"/>
          <w:highlight w:val="none"/>
          <w:lang w:val="en-US" w:eastAsia="zh-CN"/>
        </w:rPr>
        <w:t>财政后期追加预算经费。</w:t>
      </w:r>
    </w:p>
    <w:p>
      <w:pPr>
        <w:pStyle w:val="12"/>
        <w:keepNext w:val="0"/>
        <w:keepLines w:val="0"/>
        <w:pageBreakBefore w:val="0"/>
        <w:widowControl w:val="0"/>
        <w:numPr>
          <w:ilvl w:val="0"/>
          <w:numId w:val="0"/>
        </w:numPr>
        <w:kinsoku/>
        <w:wordWrap/>
        <w:overflowPunct/>
        <w:topLinePunct w:val="0"/>
        <w:bidi w:val="0"/>
        <w:snapToGrid/>
        <w:spacing w:line="600" w:lineRule="exact"/>
        <w:ind w:firstLine="960" w:firstLineChars="3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6、社会保障和就业支出（类）抚恤（款）其他优抚支出（项）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eastAsia" w:ascii="仿宋_GB2312" w:hAnsi="仿宋_GB2312" w:eastAsia="仿宋_GB2312" w:cs="仿宋_GB2312"/>
          <w:sz w:val="32"/>
          <w:szCs w:val="32"/>
          <w:highlight w:val="yellow"/>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24.05</w:t>
      </w:r>
      <w:r>
        <w:rPr>
          <w:rFonts w:hint="eastAsia" w:ascii="Times New Roman" w:hAnsi="Times New Roman" w:eastAsia="仿宋_GB2312"/>
          <w:sz w:val="32"/>
          <w:szCs w:val="32"/>
          <w:highlight w:val="none"/>
        </w:rPr>
        <w:t>万元，</w:t>
      </w:r>
      <w:r>
        <w:rPr>
          <w:rFonts w:hint="eastAsia" w:ascii="仿宋_GB2312" w:hAnsi="仿宋_GB2312" w:eastAsia="仿宋_GB2312" w:cs="仿宋_GB2312"/>
          <w:sz w:val="32"/>
          <w:szCs w:val="32"/>
          <w:highlight w:val="none"/>
        </w:rPr>
        <w:t>决算数</w:t>
      </w:r>
      <w:r>
        <w:rPr>
          <w:rFonts w:hint="eastAsia" w:ascii="仿宋_GB2312" w:hAnsi="仿宋_GB2312" w:eastAsia="仿宋_GB2312" w:cs="仿宋_GB2312"/>
          <w:sz w:val="32"/>
          <w:szCs w:val="32"/>
          <w:highlight w:val="none"/>
          <w:lang w:val="en-US" w:eastAsia="zh-CN"/>
        </w:rPr>
        <w:t>大</w:t>
      </w:r>
      <w:r>
        <w:rPr>
          <w:rFonts w:hint="eastAsia" w:ascii="仿宋_GB2312" w:hAnsi="仿宋_GB2312" w:eastAsia="仿宋_GB2312" w:cs="仿宋_GB2312"/>
          <w:sz w:val="32"/>
          <w:szCs w:val="32"/>
          <w:highlight w:val="none"/>
        </w:rPr>
        <w:t>于年初预算数的主要原因是：</w:t>
      </w:r>
      <w:r>
        <w:rPr>
          <w:rFonts w:hint="eastAsia" w:ascii="Times New Roman" w:hAnsi="Times New Roman" w:eastAsia="仿宋_GB2312"/>
          <w:sz w:val="32"/>
          <w:szCs w:val="32"/>
          <w:highlight w:val="none"/>
          <w:lang w:val="en-US" w:eastAsia="zh-CN"/>
        </w:rPr>
        <w:t>财政预算追加及下达上年单位指标结余结转资金等。</w:t>
      </w:r>
    </w:p>
    <w:p>
      <w:pPr>
        <w:pStyle w:val="12"/>
        <w:keepNext w:val="0"/>
        <w:keepLines w:val="0"/>
        <w:pageBreakBefore w:val="0"/>
        <w:widowControl w:val="0"/>
        <w:numPr>
          <w:ilvl w:val="0"/>
          <w:numId w:val="0"/>
        </w:numPr>
        <w:kinsoku/>
        <w:wordWrap/>
        <w:overflowPunct/>
        <w:topLinePunct w:val="0"/>
        <w:bidi w:val="0"/>
        <w:snapToGrid/>
        <w:spacing w:line="600" w:lineRule="exact"/>
        <w:ind w:firstLine="960" w:firstLineChars="300"/>
        <w:textAlignment w:val="auto"/>
        <w:rPr>
          <w:rFonts w:hint="eastAsia"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lang w:val="en-US" w:eastAsia="zh-CN"/>
        </w:rPr>
        <w:t>7、卫生健康支出（类）行政事业单位医疗（款）行政单位医疗（项）</w:t>
      </w:r>
    </w:p>
    <w:p>
      <w:pPr>
        <w:pStyle w:val="12"/>
        <w:keepNext w:val="0"/>
        <w:keepLines w:val="0"/>
        <w:pageBreakBefore w:val="0"/>
        <w:widowControl w:val="0"/>
        <w:kinsoku/>
        <w:wordWrap/>
        <w:overflowPunct/>
        <w:topLinePunct w:val="0"/>
        <w:bidi w:val="0"/>
        <w:snapToGrid/>
        <w:spacing w:line="600" w:lineRule="exact"/>
        <w:ind w:firstLine="800" w:firstLineChars="250"/>
        <w:textAlignment w:val="auto"/>
        <w:rPr>
          <w:rFonts w:hint="default" w:ascii="Times New Roman" w:hAnsi="Times New Roman" w:eastAsia="仿宋_GB2312"/>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453.49</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443.65</w:t>
      </w:r>
      <w:r>
        <w:rPr>
          <w:rFonts w:hint="eastAsia" w:ascii="Times New Roman" w:hAnsi="Times New Roman" w:eastAsia="仿宋_GB2312"/>
          <w:sz w:val="32"/>
          <w:szCs w:val="32"/>
          <w:highlight w:val="none"/>
        </w:rPr>
        <w:t>万元，</w:t>
      </w:r>
      <w:r>
        <w:rPr>
          <w:rFonts w:hint="eastAsia" w:ascii="仿宋_GB2312" w:hAnsi="仿宋_GB2312" w:eastAsia="仿宋_GB2312" w:cs="仿宋_GB2312"/>
          <w:sz w:val="32"/>
          <w:szCs w:val="32"/>
        </w:rPr>
        <w:t>完成年初预算的</w:t>
      </w:r>
      <w:r>
        <w:rPr>
          <w:rFonts w:hint="eastAsia" w:ascii="仿宋_GB2312" w:hAnsi="仿宋_GB2312" w:eastAsia="仿宋_GB2312" w:cs="仿宋_GB2312"/>
          <w:sz w:val="32"/>
          <w:szCs w:val="32"/>
          <w:lang w:val="en-US" w:eastAsia="zh-CN"/>
        </w:rPr>
        <w:t>97.83</w:t>
      </w:r>
      <w:r>
        <w:rPr>
          <w:rFonts w:hint="eastAsia" w:ascii="仿宋_GB2312" w:hAnsi="仿宋_GB2312" w:eastAsia="仿宋_GB2312" w:cs="仿宋_GB2312"/>
          <w:sz w:val="32"/>
          <w:szCs w:val="32"/>
        </w:rPr>
        <w:t>%，</w:t>
      </w:r>
      <w:r>
        <w:rPr>
          <w:rFonts w:hint="eastAsia" w:ascii="Times New Roman" w:hAnsi="Times New Roman" w:eastAsia="仿宋_GB2312"/>
          <w:sz w:val="32"/>
          <w:szCs w:val="32"/>
          <w:highlight w:val="none"/>
        </w:rPr>
        <w:t>决算数</w:t>
      </w:r>
      <w:r>
        <w:rPr>
          <w:rFonts w:hint="eastAsia" w:ascii="Times New Roman" w:hAnsi="Times New Roman" w:eastAsia="仿宋_GB2312"/>
          <w:sz w:val="32"/>
          <w:szCs w:val="32"/>
          <w:highlight w:val="none"/>
          <w:lang w:val="en-US" w:eastAsia="zh-CN"/>
        </w:rPr>
        <w:t>小</w:t>
      </w:r>
      <w:r>
        <w:rPr>
          <w:rFonts w:hint="eastAsia" w:ascii="Times New Roman" w:hAnsi="Times New Roman" w:eastAsia="仿宋_GB2312"/>
          <w:sz w:val="32"/>
          <w:szCs w:val="32"/>
          <w:highlight w:val="none"/>
        </w:rPr>
        <w:t>于年初预算数的主要原因是</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人员异动以及缴费基数变动。</w:t>
      </w:r>
    </w:p>
    <w:p>
      <w:pPr>
        <w:pStyle w:val="12"/>
        <w:keepNext w:val="0"/>
        <w:keepLines w:val="0"/>
        <w:pageBreakBefore w:val="0"/>
        <w:widowControl w:val="0"/>
        <w:numPr>
          <w:ilvl w:val="0"/>
          <w:numId w:val="0"/>
        </w:numPr>
        <w:kinsoku/>
        <w:wordWrap/>
        <w:overflowPunct/>
        <w:topLinePunct w:val="0"/>
        <w:bidi w:val="0"/>
        <w:snapToGrid/>
        <w:spacing w:line="600" w:lineRule="exact"/>
        <w:ind w:firstLine="960" w:firstLineChars="3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highlight w:val="none"/>
          <w:lang w:val="en-US" w:eastAsia="zh-CN"/>
        </w:rPr>
        <w:t>8、城乡社区支出（类）城乡社区规划与管理（款）城乡社区规划与管理（项）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Times New Roman" w:hAnsi="Times New Roman" w:eastAsia="仿宋_GB2312"/>
          <w:sz w:val="32"/>
          <w:szCs w:val="32"/>
          <w:highlight w:val="red"/>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0</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192.88</w:t>
      </w:r>
      <w:r>
        <w:rPr>
          <w:rFonts w:hint="eastAsia" w:ascii="Times New Roman" w:hAnsi="Times New Roman" w:eastAsia="仿宋_GB2312"/>
          <w:sz w:val="32"/>
          <w:szCs w:val="32"/>
          <w:highlight w:val="none"/>
        </w:rPr>
        <w:t>万元，决算数大于年初预算数的主要原因是</w:t>
      </w:r>
      <w:r>
        <w:rPr>
          <w:rFonts w:hint="eastAsia" w:ascii="Times New Roman" w:hAnsi="Times New Roman" w:eastAsia="仿宋_GB2312"/>
          <w:sz w:val="32"/>
          <w:szCs w:val="32"/>
          <w:highlight w:val="none"/>
          <w:lang w:eastAsia="zh-CN"/>
        </w:rPr>
        <w:t>：</w:t>
      </w:r>
      <w:r>
        <w:rPr>
          <w:rFonts w:hint="eastAsia" w:ascii="Times New Roman" w:hAnsi="Times New Roman" w:eastAsia="仿宋_GB2312"/>
          <w:sz w:val="32"/>
          <w:szCs w:val="32"/>
          <w:highlight w:val="none"/>
          <w:lang w:val="en-US" w:eastAsia="zh-CN"/>
        </w:rPr>
        <w:t>财政预算追加及下达上年单位指标结余结转资金等。</w:t>
      </w:r>
    </w:p>
    <w:p>
      <w:pPr>
        <w:pStyle w:val="12"/>
        <w:keepNext w:val="0"/>
        <w:keepLines w:val="0"/>
        <w:pageBreakBefore w:val="0"/>
        <w:widowControl w:val="0"/>
        <w:numPr>
          <w:ilvl w:val="0"/>
          <w:numId w:val="0"/>
        </w:numPr>
        <w:kinsoku/>
        <w:wordWrap/>
        <w:overflowPunct/>
        <w:topLinePunct w:val="0"/>
        <w:bidi w:val="0"/>
        <w:snapToGrid/>
        <w:spacing w:line="600" w:lineRule="exact"/>
        <w:ind w:firstLine="960" w:firstLineChars="300"/>
        <w:textAlignment w:val="auto"/>
        <w:rPr>
          <w:rFonts w:hint="eastAsia" w:ascii="仿宋_GB2312" w:hAnsi="仿宋_GB2312" w:eastAsia="仿宋_GB2312" w:cs="仿宋_GB2312"/>
          <w:sz w:val="32"/>
          <w:szCs w:val="32"/>
        </w:rPr>
      </w:pPr>
      <w:r>
        <w:rPr>
          <w:rFonts w:hint="eastAsia" w:ascii="Times New Roman" w:hAnsi="Times New Roman" w:eastAsia="仿宋_GB2312"/>
          <w:sz w:val="32"/>
          <w:szCs w:val="32"/>
          <w:highlight w:val="none"/>
          <w:lang w:val="en-US" w:eastAsia="zh-CN"/>
        </w:rPr>
        <w:t>9、住房保障支出（类）住房改革支出（款）住房公积金（项）</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default" w:ascii="Times New Roman" w:hAnsi="Times New Roman" w:eastAsia="仿宋_GB2312"/>
          <w:color w:val="auto"/>
          <w:sz w:val="32"/>
          <w:szCs w:val="32"/>
          <w:highlight w:val="none"/>
          <w:lang w:val="en-US" w:eastAsia="zh-CN"/>
        </w:rPr>
      </w:pPr>
      <w:r>
        <w:rPr>
          <w:rFonts w:hint="eastAsia" w:ascii="Times New Roman" w:hAnsi="Times New Roman" w:eastAsia="仿宋_GB2312"/>
          <w:sz w:val="32"/>
          <w:szCs w:val="32"/>
          <w:highlight w:val="none"/>
        </w:rPr>
        <w:t>年初预算为</w:t>
      </w:r>
      <w:r>
        <w:rPr>
          <w:rFonts w:hint="eastAsia" w:ascii="Times New Roman" w:hAnsi="Times New Roman" w:eastAsia="仿宋_GB2312"/>
          <w:sz w:val="32"/>
          <w:szCs w:val="32"/>
          <w:highlight w:val="none"/>
          <w:lang w:val="en-US" w:eastAsia="zh-CN"/>
        </w:rPr>
        <w:t>488.15</w:t>
      </w:r>
      <w:r>
        <w:rPr>
          <w:rFonts w:hint="eastAsia" w:ascii="Times New Roman" w:hAnsi="Times New Roman" w:eastAsia="仿宋_GB2312"/>
          <w:sz w:val="32"/>
          <w:szCs w:val="32"/>
          <w:highlight w:val="none"/>
        </w:rPr>
        <w:t>万元，支出决算为</w:t>
      </w:r>
      <w:r>
        <w:rPr>
          <w:rFonts w:hint="eastAsia" w:ascii="Times New Roman" w:hAnsi="Times New Roman" w:eastAsia="仿宋_GB2312"/>
          <w:sz w:val="32"/>
          <w:szCs w:val="32"/>
          <w:highlight w:val="none"/>
          <w:lang w:val="en-US" w:eastAsia="zh-CN"/>
        </w:rPr>
        <w:t>488.15</w:t>
      </w:r>
      <w:r>
        <w:rPr>
          <w:rFonts w:hint="eastAsia" w:ascii="Times New Roman" w:hAnsi="Times New Roman" w:eastAsia="仿宋_GB2312"/>
          <w:sz w:val="32"/>
          <w:szCs w:val="32"/>
          <w:highlight w:val="none"/>
        </w:rPr>
        <w:t>万元，</w:t>
      </w:r>
      <w:r>
        <w:rPr>
          <w:rFonts w:hint="eastAsia" w:ascii="Times New Roman" w:hAnsi="Times New Roman" w:eastAsia="仿宋_GB2312"/>
          <w:color w:val="auto"/>
          <w:sz w:val="32"/>
          <w:szCs w:val="32"/>
          <w:highlight w:val="none"/>
        </w:rPr>
        <w:t>决算数</w:t>
      </w:r>
      <w:r>
        <w:rPr>
          <w:rFonts w:hint="eastAsia" w:ascii="Times New Roman" w:hAnsi="Times New Roman" w:eastAsia="仿宋_GB2312"/>
          <w:color w:val="auto"/>
          <w:sz w:val="32"/>
          <w:szCs w:val="32"/>
          <w:highlight w:val="none"/>
          <w:lang w:val="en-US" w:eastAsia="zh-CN"/>
        </w:rPr>
        <w:t>等于</w:t>
      </w:r>
      <w:r>
        <w:rPr>
          <w:rFonts w:hint="eastAsia" w:ascii="Times New Roman" w:hAnsi="Times New Roman" w:eastAsia="仿宋_GB2312"/>
          <w:color w:val="auto"/>
          <w:sz w:val="32"/>
          <w:szCs w:val="32"/>
          <w:highlight w:val="none"/>
        </w:rPr>
        <w:t>年初预算数的主要原因是</w:t>
      </w:r>
      <w:r>
        <w:rPr>
          <w:rFonts w:hint="eastAsia" w:ascii="Times New Roman" w:hAnsi="Times New Roman" w:eastAsia="仿宋_GB2312"/>
          <w:color w:val="auto"/>
          <w:sz w:val="32"/>
          <w:szCs w:val="32"/>
          <w:highlight w:val="none"/>
          <w:lang w:eastAsia="zh-CN"/>
        </w:rPr>
        <w:t>：</w:t>
      </w:r>
      <w:r>
        <w:rPr>
          <w:rFonts w:hint="eastAsia" w:ascii="Times New Roman" w:hAnsi="Times New Roman" w:eastAsia="仿宋_GB2312"/>
          <w:color w:val="auto"/>
          <w:sz w:val="32"/>
          <w:szCs w:val="32"/>
          <w:highlight w:val="none"/>
          <w:lang w:val="en-US" w:eastAsia="zh-CN"/>
        </w:rPr>
        <w:t>我单位严格按预算执行决算。</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六、一般公共预算财政拨款基本支出决算情况说明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w:t>
      </w:r>
      <w:r>
        <w:rPr>
          <w:rFonts w:hint="eastAsia" w:ascii="仿宋_GB2312" w:hAnsi="仿宋_GB2312" w:eastAsia="仿宋_GB2312" w:cs="仿宋_GB2312"/>
          <w:sz w:val="32"/>
          <w:szCs w:val="32"/>
          <w:lang w:eastAsia="zh-CN"/>
        </w:rPr>
        <w:t>一般公共预算</w:t>
      </w:r>
      <w:r>
        <w:rPr>
          <w:rFonts w:hint="eastAsia" w:ascii="仿宋_GB2312" w:hAnsi="仿宋_GB2312" w:eastAsia="仿宋_GB2312" w:cs="仿宋_GB2312"/>
          <w:sz w:val="32"/>
          <w:szCs w:val="32"/>
        </w:rPr>
        <w:t>财政拨款基本支出</w:t>
      </w:r>
      <w:r>
        <w:rPr>
          <w:rFonts w:hint="eastAsia" w:ascii="仿宋_GB2312" w:hAnsi="仿宋_GB2312" w:eastAsia="仿宋_GB2312" w:cs="仿宋_GB2312"/>
          <w:sz w:val="32"/>
          <w:szCs w:val="32"/>
          <w:lang w:val="en-US" w:eastAsia="zh-CN"/>
        </w:rPr>
        <w:t>12386.11</w:t>
      </w:r>
      <w:r>
        <w:rPr>
          <w:rFonts w:hint="eastAsia" w:ascii="仿宋_GB2312" w:hAnsi="仿宋_GB2312" w:eastAsia="仿宋_GB2312" w:cs="仿宋_GB2312"/>
          <w:sz w:val="32"/>
          <w:szCs w:val="32"/>
        </w:rPr>
        <w:t>万元，其中：</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b/>
          <w:bCs/>
          <w:i/>
          <w:color w:val="FF0000"/>
          <w:sz w:val="32"/>
          <w:szCs w:val="32"/>
        </w:rPr>
      </w:pPr>
      <w:r>
        <w:rPr>
          <w:rFonts w:hint="eastAsia" w:ascii="仿宋_GB2312" w:hAnsi="仿宋_GB2312" w:eastAsia="仿宋_GB2312" w:cs="仿宋_GB2312"/>
          <w:b/>
          <w:bCs/>
          <w:sz w:val="32"/>
          <w:szCs w:val="32"/>
        </w:rPr>
        <w:t>人员经费</w:t>
      </w:r>
      <w:r>
        <w:rPr>
          <w:rFonts w:hint="eastAsia" w:ascii="仿宋_GB2312" w:hAnsi="仿宋_GB2312" w:eastAsia="仿宋_GB2312" w:cs="仿宋_GB2312"/>
          <w:sz w:val="32"/>
          <w:szCs w:val="32"/>
        </w:rPr>
        <w:t>8056.19万元，占基本支出的</w:t>
      </w:r>
      <w:r>
        <w:rPr>
          <w:rFonts w:hint="eastAsia" w:ascii="仿宋_GB2312" w:hAnsi="仿宋_GB2312" w:eastAsia="仿宋_GB2312" w:cs="仿宋_GB2312"/>
          <w:sz w:val="32"/>
          <w:szCs w:val="32"/>
          <w:lang w:val="en-US" w:eastAsia="zh-CN"/>
        </w:rPr>
        <w:t>65.04</w:t>
      </w:r>
      <w:r>
        <w:rPr>
          <w:rFonts w:hint="eastAsia" w:ascii="仿宋_GB2312" w:hAnsi="仿宋_GB2312" w:eastAsia="仿宋_GB2312" w:cs="仿宋_GB2312"/>
          <w:sz w:val="32"/>
          <w:szCs w:val="32"/>
        </w:rPr>
        <w:t>%,主要包括基本工资、津贴补贴、奖金、伙食补助费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绩效工资、机关事业单位基本养老保险缴费、职业年金缴费、职工基本医疗保险缴费、公务员医疗补助缴费、其他社会保障缴费、住房公积金等</w:t>
      </w:r>
      <w:r>
        <w:rPr>
          <w:rFonts w:hint="eastAsia" w:ascii="仿宋_GB2312" w:hAnsi="仿宋_GB2312" w:eastAsia="仿宋_GB2312" w:cs="仿宋_GB2312"/>
          <w:sz w:val="32"/>
          <w:szCs w:val="32"/>
          <w:lang w:eastAsia="zh-CN"/>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i/>
          <w:color w:val="FF0000"/>
          <w:kern w:val="0"/>
          <w:sz w:val="32"/>
          <w:szCs w:val="32"/>
          <w:lang w:val="en-US" w:eastAsia="zh-CN" w:bidi="ar-SA"/>
        </w:rPr>
      </w:pPr>
      <w:r>
        <w:rPr>
          <w:rFonts w:hint="eastAsia" w:ascii="仿宋_GB2312" w:hAnsi="仿宋_GB2312" w:eastAsia="仿宋_GB2312" w:cs="仿宋_GB2312"/>
          <w:b/>
          <w:bCs/>
          <w:sz w:val="32"/>
          <w:szCs w:val="32"/>
          <w:highlight w:val="none"/>
        </w:rPr>
        <w:t>公用经费</w:t>
      </w:r>
      <w:r>
        <w:rPr>
          <w:rFonts w:hint="eastAsia" w:ascii="仿宋_GB2312" w:hAnsi="仿宋_GB2312" w:eastAsia="仿宋_GB2312" w:cs="仿宋_GB2312"/>
          <w:sz w:val="32"/>
          <w:szCs w:val="32"/>
          <w:highlight w:val="none"/>
        </w:rPr>
        <w:t>4329.9</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rPr>
        <w:t>占基本支出的</w:t>
      </w:r>
      <w:r>
        <w:rPr>
          <w:rFonts w:hint="eastAsia" w:ascii="仿宋_GB2312" w:hAnsi="仿宋_GB2312" w:eastAsia="仿宋_GB2312" w:cs="仿宋_GB2312"/>
          <w:sz w:val="32"/>
          <w:szCs w:val="32"/>
          <w:lang w:val="en-US" w:eastAsia="zh-CN"/>
        </w:rPr>
        <w:t>34.96</w:t>
      </w:r>
      <w:r>
        <w:rPr>
          <w:rFonts w:hint="eastAsia" w:ascii="仿宋_GB2312" w:hAnsi="仿宋_GB2312" w:eastAsia="仿宋_GB2312" w:cs="仿宋_GB2312"/>
          <w:sz w:val="32"/>
          <w:szCs w:val="32"/>
        </w:rPr>
        <w:t>%，</w:t>
      </w:r>
      <w:r>
        <w:rPr>
          <w:rFonts w:hint="eastAsia" w:ascii="Times New Roman" w:hAnsi="Times New Roman" w:eastAsia="仿宋_GB2312"/>
          <w:sz w:val="32"/>
          <w:szCs w:val="32"/>
        </w:rPr>
        <w:t>主要包括办公费、印刷费、</w:t>
      </w:r>
      <w:r>
        <w:rPr>
          <w:rFonts w:hint="eastAsia" w:ascii="Times New Roman" w:hAnsi="Times New Roman" w:eastAsia="仿宋_GB2312"/>
          <w:sz w:val="32"/>
          <w:szCs w:val="32"/>
          <w:highlight w:val="none"/>
          <w:lang w:val="en-US" w:eastAsia="zh-CN"/>
        </w:rPr>
        <w:t>水电费、邮电费、物业费、差旅费、维修费、劳务费、工会经费、公务用车运行维护费及其他交通费、其他商品服务支出等</w:t>
      </w:r>
      <w:r>
        <w:rPr>
          <w:rFonts w:hint="eastAsia" w:ascii="Times New Roman" w:hAnsi="Times New Roman" w:eastAsia="仿宋_GB2312"/>
          <w:sz w:val="32"/>
          <w:szCs w:val="32"/>
          <w:highlight w:val="none"/>
        </w:rPr>
        <w:t>。</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七、政府性基金预算收入支出决算情况</w:t>
      </w:r>
    </w:p>
    <w:p>
      <w:pPr>
        <w:keepNext w:val="0"/>
        <w:keepLines w:val="0"/>
        <w:pageBreakBefore w:val="0"/>
        <w:widowControl w:val="0"/>
        <w:kinsoku/>
        <w:wordWrap/>
        <w:overflowPunct/>
        <w:topLinePunct w:val="0"/>
        <w:autoSpaceDE w:val="0"/>
        <w:autoSpaceDN w:val="0"/>
        <w:bidi w:val="0"/>
        <w:adjustRightInd w:val="0"/>
        <w:snapToGrid/>
        <w:spacing w:line="600" w:lineRule="exact"/>
        <w:textAlignment w:val="auto"/>
        <w:rPr>
          <w:rFonts w:hint="eastAsia" w:ascii="仿宋_GB2312" w:hAnsi="仿宋_GB2312" w:eastAsia="仿宋_GB2312" w:cs="仿宋_GB2312"/>
          <w:color w:val="000000"/>
          <w:kern w:val="0"/>
          <w:sz w:val="32"/>
          <w:szCs w:val="32"/>
          <w:highlight w:val="none"/>
          <w:lang w:val="en-US" w:eastAsia="zh-CN" w:bidi="ar-SA"/>
        </w:rPr>
      </w:pPr>
      <w:r>
        <w:rPr>
          <w:rFonts w:hint="eastAsia" w:ascii="Times New Roman" w:hAnsi="Times New Roman" w:eastAsia="仿宋_GB2312"/>
          <w:sz w:val="32"/>
          <w:szCs w:val="32"/>
        </w:rPr>
        <w:t xml:space="preserve">    </w:t>
      </w:r>
      <w:r>
        <w:rPr>
          <w:rFonts w:hint="eastAsia" w:ascii="仿宋_GB2312" w:hAnsi="仿宋_GB2312" w:eastAsia="仿宋_GB2312" w:cs="仿宋_GB2312"/>
          <w:b/>
          <w:bCs/>
          <w:i w:val="0"/>
          <w:iCs/>
          <w:color w:val="FF0000"/>
          <w:kern w:val="0"/>
          <w:sz w:val="36"/>
          <w:szCs w:val="36"/>
          <w:lang w:val="en-US" w:eastAsia="zh-CN" w:bidi="ar-SA"/>
        </w:rPr>
        <w:t xml:space="preserve"> </w:t>
      </w:r>
      <w:r>
        <w:rPr>
          <w:rFonts w:hint="eastAsia" w:ascii="仿宋_GB2312" w:hAnsi="仿宋_GB2312" w:eastAsia="仿宋_GB2312" w:cs="仿宋_GB2312"/>
          <w:color w:val="000000"/>
          <w:kern w:val="0"/>
          <w:sz w:val="32"/>
          <w:szCs w:val="32"/>
          <w:highlight w:val="none"/>
          <w:lang w:val="en-US" w:eastAsia="zh-CN" w:bidi="ar-SA"/>
        </w:rPr>
        <w:t>2024年度政府性基金预算财政拨款收入0万元；年初结转和结余0万元；支出0万元，其中基本支出0万元，项目支出0万元；年末结转和结余0万元。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黑体" w:hAnsi="黑体" w:eastAsia="黑体" w:cs="黑体"/>
          <w:b w:val="0"/>
          <w:bCs/>
          <w:color w:val="000000"/>
          <w:kern w:val="0"/>
          <w:sz w:val="32"/>
          <w:szCs w:val="32"/>
          <w:lang w:val="en-US" w:eastAsia="zh-CN" w:bidi="ar-SA"/>
        </w:rPr>
      </w:pPr>
      <w:r>
        <w:rPr>
          <w:rFonts w:hint="eastAsia" w:ascii="黑体" w:hAnsi="黑体" w:eastAsia="黑体" w:cs="黑体"/>
          <w:b w:val="0"/>
          <w:bCs/>
          <w:color w:val="000000"/>
          <w:kern w:val="0"/>
          <w:sz w:val="32"/>
          <w:szCs w:val="32"/>
          <w:lang w:val="en-US" w:eastAsia="zh-CN" w:bidi="ar-SA"/>
        </w:rPr>
        <w:t>八、国有资本经营预算财政拨款支出决算情况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2024年度国有资本经营预算财政拨款收入0万元；年初结转和结余0万；支出0万元，其中：基本支出0万元，项目支出0万元；年末结转和结余0万元。</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hAnsi="黑体" w:cs="黑体"/>
          <w:b w:val="0"/>
          <w:bCs/>
          <w:sz w:val="32"/>
          <w:szCs w:val="32"/>
          <w:highlight w:val="none"/>
          <w:lang w:eastAsia="zh-CN"/>
        </w:rPr>
        <w:t>九、</w:t>
      </w:r>
      <w:r>
        <w:rPr>
          <w:rFonts w:hint="eastAsia" w:ascii="黑体" w:hAnsi="黑体" w:eastAsia="黑体" w:cs="黑体"/>
          <w:b w:val="0"/>
          <w:bCs/>
          <w:sz w:val="32"/>
          <w:szCs w:val="32"/>
          <w:highlight w:val="none"/>
        </w:rPr>
        <w:t>财政拨款三公经费支出决算情况说明</w:t>
      </w:r>
    </w:p>
    <w:p>
      <w:pPr>
        <w:pStyle w:val="12"/>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（一）</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经费财政拨款支出决算总体情况说明</w:t>
      </w:r>
    </w:p>
    <w:p>
      <w:pPr>
        <w:pStyle w:val="12"/>
        <w:overflowPunct w:val="0"/>
        <w:autoSpaceDE/>
        <w:autoSpaceDN/>
        <w:spacing w:line="600" w:lineRule="exact"/>
        <w:ind w:firstLine="640" w:firstLineChars="200"/>
        <w:jc w:val="both"/>
        <w:rPr>
          <w:rFonts w:ascii="Times New Roman" w:hAnsi="Times New Roman" w:eastAsia="仿宋_GB2312" w:cs="Times New Roman"/>
          <w:sz w:val="32"/>
          <w:szCs w:val="32"/>
          <w:highlight w:val="yellow"/>
        </w:rPr>
      </w:pPr>
      <w:r>
        <w:rPr>
          <w:rFonts w:ascii="Times New Roman" w:hAnsi="Times New Roman" w:eastAsia="仿宋_GB2312" w:cs="Times New Roman"/>
          <w:sz w:val="32"/>
          <w:szCs w:val="32"/>
        </w:rPr>
        <w:t>2024年度“三公”经费财政拨款支出预算为</w:t>
      </w:r>
      <w:r>
        <w:rPr>
          <w:rFonts w:hint="eastAsia" w:ascii="Times New Roman" w:hAnsi="Times New Roman" w:eastAsia="仿宋_GB2312" w:cs="Times New Roman"/>
          <w:sz w:val="32"/>
          <w:szCs w:val="32"/>
          <w:lang w:val="en-US" w:eastAsia="zh-CN"/>
        </w:rPr>
        <w:t>775</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391.15</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50.47</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none"/>
        </w:rPr>
        <w:t>与上年相比减少</w:t>
      </w:r>
      <w:r>
        <w:rPr>
          <w:rFonts w:hint="eastAsia" w:ascii="Times New Roman" w:hAnsi="Times New Roman" w:eastAsia="仿宋_GB2312" w:cs="Times New Roman"/>
          <w:sz w:val="32"/>
          <w:szCs w:val="32"/>
          <w:highlight w:val="none"/>
          <w:lang w:val="en-US" w:eastAsia="zh-CN"/>
        </w:rPr>
        <w:t>114.9</w:t>
      </w:r>
      <w:r>
        <w:rPr>
          <w:rFonts w:ascii="Times New Roman" w:hAnsi="Times New Roman" w:eastAsia="仿宋_GB2312" w:cs="Times New Roman"/>
          <w:sz w:val="32"/>
          <w:szCs w:val="32"/>
          <w:highlight w:val="none"/>
        </w:rPr>
        <w:t>万元，降低</w:t>
      </w:r>
      <w:r>
        <w:rPr>
          <w:rFonts w:hint="eastAsia" w:ascii="Times New Roman" w:hAnsi="Times New Roman" w:eastAsia="仿宋_GB2312" w:cs="Times New Roman"/>
          <w:sz w:val="32"/>
          <w:szCs w:val="32"/>
          <w:highlight w:val="none"/>
          <w:lang w:val="en-US" w:eastAsia="zh-CN"/>
        </w:rPr>
        <w:t>22.7</w:t>
      </w:r>
      <w:r>
        <w:rPr>
          <w:rFonts w:ascii="Times New Roman" w:hAnsi="Times New Roman" w:eastAsia="仿宋_GB2312" w:cs="Times New Roman"/>
          <w:sz w:val="32"/>
          <w:szCs w:val="32"/>
          <w:highlight w:val="none"/>
        </w:rPr>
        <w:t>%。</w:t>
      </w:r>
      <w:r>
        <w:rPr>
          <w:rFonts w:ascii="Times New Roman" w:hAnsi="Times New Roman" w:eastAsia="仿宋_GB2312" w:cs="Times New Roman"/>
          <w:sz w:val="32"/>
          <w:szCs w:val="32"/>
        </w:rPr>
        <w:t>决算数小于预算数的主要原因是</w:t>
      </w:r>
      <w:r>
        <w:rPr>
          <w:rFonts w:hint="eastAsia" w:ascii="Times New Roman" w:hAnsi="Times New Roman" w:eastAsia="仿宋_GB2312" w:cs="Times New Roman"/>
          <w:sz w:val="32"/>
          <w:szCs w:val="32"/>
          <w:lang w:val="en-US" w:eastAsia="zh-CN"/>
        </w:rPr>
        <w:t>我单位严格按预算执行决算，</w:t>
      </w:r>
      <w:r>
        <w:rPr>
          <w:rFonts w:hint="eastAsia" w:ascii="仿宋_GB2312" w:hAnsi="仿宋_GB2312" w:eastAsia="仿宋_GB2312" w:cs="仿宋_GB2312"/>
          <w:sz w:val="32"/>
          <w:szCs w:val="32"/>
          <w:lang w:val="en-US" w:eastAsia="zh-CN"/>
        </w:rPr>
        <w:t>厉行节约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规范管理</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none"/>
        </w:rPr>
        <w:t>决算数小于上年数的主要原因是</w:t>
      </w:r>
      <w:r>
        <w:rPr>
          <w:rFonts w:hint="eastAsia" w:ascii="Times New Roman" w:hAnsi="Times New Roman" w:eastAsia="仿宋_GB2312" w:cs="Times New Roman"/>
          <w:sz w:val="32"/>
          <w:szCs w:val="32"/>
          <w:highlight w:val="none"/>
          <w:lang w:val="en-US" w:eastAsia="zh-CN"/>
        </w:rPr>
        <w:t>按有关政策</w:t>
      </w:r>
      <w:r>
        <w:rPr>
          <w:rFonts w:hint="eastAsia" w:ascii="仿宋_GB2312" w:hAnsi="仿宋_GB2312" w:eastAsia="仿宋_GB2312" w:cs="仿宋_GB2312"/>
          <w:sz w:val="32"/>
          <w:szCs w:val="32"/>
          <w:highlight w:val="none"/>
          <w:lang w:val="en-US" w:eastAsia="zh-CN"/>
        </w:rPr>
        <w:t>厉行节约，严控“三公经费”支出</w:t>
      </w:r>
      <w:r>
        <w:rPr>
          <w:rFonts w:ascii="Times New Roman" w:hAnsi="Times New Roman" w:eastAsia="仿宋_GB2312" w:cs="Times New Roman"/>
          <w:sz w:val="32"/>
          <w:szCs w:val="32"/>
          <w:highlight w:val="none"/>
        </w:rPr>
        <w:t>。</w:t>
      </w:r>
    </w:p>
    <w:p>
      <w:pPr>
        <w:pStyle w:val="12"/>
        <w:overflowPunct w:val="0"/>
        <w:autoSpaceDE/>
        <w:autoSpaceDN/>
        <w:spacing w:line="600" w:lineRule="exact"/>
        <w:ind w:firstLine="640" w:firstLineChars="200"/>
        <w:jc w:val="both"/>
        <w:rPr>
          <w:rFonts w:ascii="Times New Roman" w:hAnsi="Times New Roman" w:eastAsia="楷体_GB2312" w:cs="Times New Roman"/>
          <w:b/>
          <w:sz w:val="32"/>
          <w:szCs w:val="32"/>
        </w:rPr>
      </w:pPr>
      <w:r>
        <w:rPr>
          <w:rFonts w:ascii="Times New Roman" w:hAnsi="Times New Roman" w:eastAsia="楷体_GB2312" w:cs="Times New Roman"/>
          <w:b/>
          <w:sz w:val="32"/>
          <w:szCs w:val="32"/>
        </w:rPr>
        <w:t>（二）</w:t>
      </w:r>
      <w:r>
        <w:rPr>
          <w:rFonts w:hint="eastAsia" w:ascii="Times New Roman" w:hAnsi="Times New Roman" w:eastAsia="楷体_GB2312" w:cs="Times New Roman"/>
          <w:b/>
          <w:sz w:val="32"/>
          <w:szCs w:val="32"/>
          <w:lang w:eastAsia="zh-CN"/>
        </w:rPr>
        <w:t>“三公”</w:t>
      </w:r>
      <w:r>
        <w:rPr>
          <w:rFonts w:ascii="Times New Roman" w:hAnsi="Times New Roman" w:eastAsia="楷体_GB2312" w:cs="Times New Roman"/>
          <w:b/>
          <w:sz w:val="32"/>
          <w:szCs w:val="32"/>
        </w:rPr>
        <w:t>经费财政拨款支出决算具体情况说明</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val="0"/>
          <w:bCs/>
          <w:color w:val="auto"/>
          <w:kern w:val="0"/>
          <w:sz w:val="32"/>
          <w:szCs w:val="32"/>
          <w:lang w:val="en-US" w:eastAsia="zh-CN" w:bidi="ar-SA"/>
        </w:rPr>
      </w:pPr>
      <w:r>
        <w:rPr>
          <w:rFonts w:hint="eastAsia" w:ascii="仿宋_GB2312" w:hAnsi="仿宋_GB2312" w:eastAsia="仿宋_GB2312" w:cs="仿宋_GB2312"/>
          <w:b w:val="0"/>
          <w:bCs/>
          <w:color w:val="auto"/>
          <w:kern w:val="0"/>
          <w:sz w:val="32"/>
          <w:szCs w:val="32"/>
          <w:lang w:val="en-US" w:eastAsia="zh-CN" w:bidi="ar-SA"/>
        </w:rPr>
        <w:t>1.因公出国（境）费支出预算为0万元，支出决算为0万元，决算数等于预算数，主要原因是我单位严格按预算执行决算；与上年一致，无增减变动，主要原因是未安排因公出国（境）活动。2024年度安排因公出国（境）团组0个，累计0人次。</w:t>
      </w:r>
    </w:p>
    <w:p>
      <w:pPr>
        <w:pStyle w:val="12"/>
        <w:overflowPunct w:val="0"/>
        <w:autoSpaceDE/>
        <w:autoSpaceDN/>
        <w:spacing w:line="600" w:lineRule="exact"/>
        <w:ind w:firstLine="640" w:firstLineChars="200"/>
        <w:jc w:val="both"/>
        <w:rPr>
          <w:rFonts w:ascii="Times New Roman" w:hAnsi="Times New Roman" w:eastAsia="仿宋_GB2312" w:cs="Times New Roman"/>
          <w:sz w:val="32"/>
          <w:szCs w:val="32"/>
          <w:highlight w:val="none"/>
        </w:rPr>
      </w:pPr>
      <w:r>
        <w:rPr>
          <w:rFonts w:ascii="Times New Roman" w:hAnsi="Times New Roman" w:eastAsia="仿宋_GB2312" w:cs="Times New Roman"/>
          <w:sz w:val="32"/>
          <w:szCs w:val="32"/>
        </w:rPr>
        <w:t>2.公务用车购置费及运行维护费支出预算为</w:t>
      </w:r>
      <w:r>
        <w:rPr>
          <w:rFonts w:hint="eastAsia" w:ascii="Times New Roman" w:hAnsi="Times New Roman" w:eastAsia="仿宋_GB2312" w:cs="Times New Roman"/>
          <w:sz w:val="32"/>
          <w:szCs w:val="32"/>
          <w:lang w:val="en-US" w:eastAsia="zh-CN"/>
        </w:rPr>
        <w:t>769</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390.26</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50.75</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none"/>
        </w:rPr>
        <w:t>与上年相比</w:t>
      </w:r>
      <w:r>
        <w:rPr>
          <w:rFonts w:hint="eastAsia" w:ascii="Times New Roman" w:hAnsi="Times New Roman" w:eastAsia="仿宋_GB2312" w:cs="Times New Roman"/>
          <w:sz w:val="32"/>
          <w:szCs w:val="32"/>
          <w:highlight w:val="none"/>
          <w:lang w:val="en-US" w:eastAsia="zh-CN"/>
        </w:rPr>
        <w:t>减少114.35</w:t>
      </w:r>
      <w:r>
        <w:rPr>
          <w:rFonts w:ascii="Times New Roman" w:hAnsi="Times New Roman" w:eastAsia="仿宋_GB2312" w:cs="Times New Roman"/>
          <w:sz w:val="32"/>
          <w:szCs w:val="32"/>
          <w:highlight w:val="none"/>
        </w:rPr>
        <w:t>万元，</w:t>
      </w:r>
      <w:r>
        <w:rPr>
          <w:rFonts w:hint="eastAsia" w:ascii="Times New Roman" w:hAnsi="Times New Roman" w:eastAsia="仿宋_GB2312" w:cs="Times New Roman"/>
          <w:sz w:val="32"/>
          <w:szCs w:val="32"/>
          <w:highlight w:val="none"/>
          <w:lang w:val="en-US" w:eastAsia="zh-CN"/>
        </w:rPr>
        <w:t>降低22.66</w:t>
      </w:r>
      <w:r>
        <w:rPr>
          <w:rFonts w:ascii="Times New Roman" w:hAnsi="Times New Roman" w:eastAsia="仿宋_GB2312" w:cs="Times New Roman"/>
          <w:sz w:val="32"/>
          <w:szCs w:val="32"/>
          <w:highlight w:val="none"/>
        </w:rPr>
        <w:t>%。其中：</w:t>
      </w:r>
    </w:p>
    <w:p>
      <w:pPr>
        <w:pStyle w:val="12"/>
        <w:overflowPunct w:val="0"/>
        <w:autoSpaceDE/>
        <w:autoSpaceDN/>
        <w:spacing w:line="600" w:lineRule="exact"/>
        <w:ind w:firstLine="640" w:firstLineChars="200"/>
        <w:jc w:val="both"/>
        <w:rPr>
          <w:rFonts w:hint="eastAsia" w:ascii="Times New Roman" w:hAnsi="Times New Roman" w:eastAsia="仿宋_GB2312" w:cs="Times New Roman"/>
          <w:sz w:val="32"/>
          <w:szCs w:val="32"/>
          <w:highlight w:val="none"/>
          <w:u w:val="single"/>
          <w:lang w:eastAsia="zh-CN"/>
        </w:rPr>
      </w:pPr>
      <w:r>
        <w:rPr>
          <w:rFonts w:ascii="Times New Roman" w:hAnsi="Times New Roman" w:eastAsia="仿宋_GB2312" w:cs="Times New Roman"/>
          <w:sz w:val="32"/>
          <w:szCs w:val="32"/>
        </w:rPr>
        <w:t>公务用车购置费支出预算为</w:t>
      </w:r>
      <w:r>
        <w:rPr>
          <w:rFonts w:hint="eastAsia" w:ascii="Times New Roman" w:hAnsi="Times New Roman" w:eastAsia="仿宋_GB2312" w:cs="Times New Roman"/>
          <w:sz w:val="32"/>
          <w:szCs w:val="32"/>
          <w:lang w:val="en-US" w:eastAsia="zh-CN"/>
        </w:rPr>
        <w:t>300</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43.79</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14.6</w:t>
      </w:r>
      <w:r>
        <w:rPr>
          <w:rFonts w:ascii="Times New Roman" w:hAnsi="Times New Roman" w:eastAsia="仿宋_GB2312" w:cs="Times New Roman"/>
          <w:sz w:val="32"/>
          <w:szCs w:val="32"/>
        </w:rPr>
        <w:t>%；与上年相比减少</w:t>
      </w:r>
      <w:r>
        <w:rPr>
          <w:rFonts w:hint="eastAsia" w:ascii="Times New Roman" w:hAnsi="Times New Roman" w:eastAsia="仿宋_GB2312" w:cs="Times New Roman"/>
          <w:sz w:val="32"/>
          <w:szCs w:val="32"/>
          <w:lang w:val="en-US" w:eastAsia="zh-CN"/>
        </w:rPr>
        <w:t>195.7</w:t>
      </w:r>
      <w:r>
        <w:rPr>
          <w:rFonts w:ascii="Times New Roman" w:hAnsi="Times New Roman" w:eastAsia="仿宋_GB2312" w:cs="Times New Roman"/>
          <w:sz w:val="32"/>
          <w:szCs w:val="32"/>
        </w:rPr>
        <w:t>万元，降低</w:t>
      </w:r>
      <w:r>
        <w:rPr>
          <w:rFonts w:hint="eastAsia" w:ascii="Times New Roman" w:hAnsi="Times New Roman" w:eastAsia="仿宋_GB2312" w:cs="Times New Roman"/>
          <w:sz w:val="32"/>
          <w:szCs w:val="32"/>
          <w:lang w:val="en-US" w:eastAsia="zh-CN"/>
        </w:rPr>
        <w:t>81.72</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none"/>
        </w:rPr>
        <w:t>。决算数小于预算数的主要原因是</w:t>
      </w:r>
      <w:r>
        <w:rPr>
          <w:rFonts w:hint="eastAsia" w:ascii="Times New Roman" w:hAnsi="Times New Roman" w:eastAsia="仿宋_GB2312" w:cs="Times New Roman"/>
          <w:sz w:val="32"/>
          <w:szCs w:val="32"/>
          <w:highlight w:val="none"/>
          <w:lang w:val="en-US" w:eastAsia="zh-CN"/>
        </w:rPr>
        <w:t>我单位严格按预算执行决算，</w:t>
      </w:r>
      <w:r>
        <w:rPr>
          <w:rFonts w:hint="eastAsia" w:ascii="仿宋_GB2312" w:hAnsi="仿宋_GB2312" w:eastAsia="仿宋_GB2312" w:cs="仿宋_GB2312"/>
          <w:sz w:val="32"/>
          <w:szCs w:val="32"/>
          <w:highlight w:val="none"/>
          <w:lang w:val="en-US" w:eastAsia="zh-CN"/>
        </w:rPr>
        <w:t>厉行节约</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规范管理</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none"/>
        </w:rPr>
        <w:t>决算数小于上年数的主要原因是</w:t>
      </w:r>
      <w:r>
        <w:rPr>
          <w:rFonts w:hint="eastAsia" w:ascii="Times New Roman" w:hAnsi="Times New Roman" w:eastAsia="仿宋_GB2312" w:cs="Times New Roman"/>
          <w:sz w:val="32"/>
          <w:szCs w:val="32"/>
          <w:highlight w:val="none"/>
          <w:lang w:val="en-US" w:eastAsia="zh-CN"/>
        </w:rPr>
        <w:t>上年</w:t>
      </w:r>
      <w:r>
        <w:rPr>
          <w:rFonts w:hint="eastAsia" w:ascii="仿宋_GB2312" w:hAnsi="仿宋_GB2312" w:eastAsia="仿宋_GB2312" w:cs="仿宋_GB2312"/>
          <w:sz w:val="32"/>
          <w:szCs w:val="32"/>
          <w:highlight w:val="none"/>
          <w:lang w:val="en-US" w:eastAsia="zh-CN"/>
        </w:rPr>
        <w:t>购置了17台执勤执法车辆，本年新购置了2台执法执勤车辆</w:t>
      </w:r>
      <w:r>
        <w:rPr>
          <w:rFonts w:hint="eastAsia" w:ascii="仿宋_GB2312" w:hAnsi="仿宋_GB2312" w:eastAsia="仿宋_GB2312" w:cs="仿宋_GB2312"/>
          <w:sz w:val="32"/>
          <w:szCs w:val="32"/>
          <w:highlight w:val="none"/>
          <w:u w:val="none"/>
          <w:lang w:val="en-US" w:eastAsia="zh-CN"/>
        </w:rPr>
        <w:t>，</w:t>
      </w:r>
      <w:r>
        <w:rPr>
          <w:rFonts w:hint="eastAsia" w:ascii="Times New Roman" w:hAnsi="Times New Roman" w:eastAsia="仿宋_GB2312" w:cs="Times New Roman"/>
          <w:sz w:val="32"/>
          <w:szCs w:val="32"/>
          <w:highlight w:val="none"/>
          <w:u w:val="none"/>
          <w:lang w:val="en-US" w:eastAsia="zh-CN"/>
        </w:rPr>
        <w:t>岳阳市公安局交通警察支队</w:t>
      </w:r>
      <w:r>
        <w:rPr>
          <w:rFonts w:ascii="Times New Roman" w:hAnsi="Times New Roman" w:eastAsia="仿宋_GB2312" w:cs="Times New Roman"/>
          <w:sz w:val="32"/>
          <w:szCs w:val="32"/>
          <w:highlight w:val="none"/>
          <w:u w:val="none"/>
        </w:rPr>
        <w:t>更新公务用车</w:t>
      </w:r>
      <w:r>
        <w:rPr>
          <w:rFonts w:hint="eastAsia" w:ascii="Times New Roman" w:hAnsi="Times New Roman" w:eastAsia="仿宋_GB2312" w:cs="Times New Roman"/>
          <w:sz w:val="32"/>
          <w:szCs w:val="32"/>
          <w:highlight w:val="none"/>
          <w:u w:val="none"/>
          <w:lang w:val="en-US" w:eastAsia="zh-CN"/>
        </w:rPr>
        <w:t>2</w:t>
      </w:r>
      <w:r>
        <w:rPr>
          <w:rFonts w:ascii="Times New Roman" w:hAnsi="Times New Roman" w:eastAsia="仿宋_GB2312" w:cs="Times New Roman"/>
          <w:sz w:val="32"/>
          <w:szCs w:val="32"/>
          <w:highlight w:val="none"/>
          <w:u w:val="none"/>
        </w:rPr>
        <w:t>辆</w:t>
      </w:r>
      <w:r>
        <w:rPr>
          <w:rFonts w:hint="eastAsia" w:ascii="Times New Roman" w:hAnsi="Times New Roman" w:eastAsia="仿宋_GB2312" w:cs="Times New Roman"/>
          <w:sz w:val="32"/>
          <w:szCs w:val="32"/>
          <w:highlight w:val="none"/>
          <w:u w:val="none"/>
          <w:lang w:eastAsia="zh-CN"/>
        </w:rPr>
        <w:t>。</w:t>
      </w:r>
    </w:p>
    <w:p>
      <w:pPr>
        <w:pStyle w:val="12"/>
        <w:overflowPunct w:val="0"/>
        <w:autoSpaceDE/>
        <w:autoSpaceDN/>
        <w:spacing w:line="600" w:lineRule="exact"/>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u w:val="none"/>
        </w:rPr>
        <w:t>公务用车运行维护费支出预算为</w:t>
      </w:r>
      <w:r>
        <w:rPr>
          <w:rFonts w:hint="eastAsia" w:ascii="Times New Roman" w:hAnsi="Times New Roman" w:eastAsia="仿宋_GB2312" w:cs="Times New Roman"/>
          <w:sz w:val="32"/>
          <w:szCs w:val="32"/>
          <w:u w:val="none"/>
          <w:lang w:val="en-US" w:eastAsia="zh-CN"/>
        </w:rPr>
        <w:t>469</w:t>
      </w:r>
      <w:r>
        <w:rPr>
          <w:rFonts w:ascii="Times New Roman" w:hAnsi="Times New Roman" w:eastAsia="仿宋_GB2312" w:cs="Times New Roman"/>
          <w:sz w:val="32"/>
          <w:szCs w:val="32"/>
          <w:u w:val="none"/>
        </w:rPr>
        <w:t>万元，支出</w:t>
      </w:r>
      <w:r>
        <w:rPr>
          <w:rFonts w:ascii="Times New Roman" w:hAnsi="Times New Roman" w:eastAsia="仿宋_GB2312" w:cs="Times New Roman"/>
          <w:sz w:val="32"/>
          <w:szCs w:val="32"/>
        </w:rPr>
        <w:t>决算为</w:t>
      </w:r>
      <w:r>
        <w:rPr>
          <w:rFonts w:hint="eastAsia" w:ascii="Times New Roman" w:hAnsi="Times New Roman" w:eastAsia="仿宋_GB2312" w:cs="Times New Roman"/>
          <w:sz w:val="32"/>
          <w:szCs w:val="32"/>
          <w:lang w:val="en-US" w:eastAsia="zh-CN"/>
        </w:rPr>
        <w:t>346.48</w:t>
      </w:r>
      <w:r>
        <w:rPr>
          <w:rFonts w:ascii="Times New Roman" w:hAnsi="Times New Roman" w:eastAsia="仿宋_GB2312" w:cs="Times New Roman"/>
          <w:sz w:val="32"/>
          <w:szCs w:val="32"/>
        </w:rPr>
        <w:t>万元，</w:t>
      </w:r>
    </w:p>
    <w:p>
      <w:pPr>
        <w:pStyle w:val="12"/>
        <w:overflowPunct w:val="0"/>
        <w:autoSpaceDE/>
        <w:autoSpaceDN/>
        <w:spacing w:line="600" w:lineRule="exact"/>
        <w:ind w:firstLine="640" w:firstLineChars="200"/>
        <w:jc w:val="both"/>
        <w:rPr>
          <w:rFonts w:ascii="Times New Roman" w:hAnsi="Times New Roman" w:eastAsia="楷体" w:cs="Times New Roman"/>
          <w:b/>
          <w:bCs/>
          <w:i/>
          <w:color w:val="FF0000"/>
          <w:sz w:val="32"/>
          <w:szCs w:val="32"/>
        </w:rPr>
      </w:pPr>
      <w:r>
        <w:rPr>
          <w:rFonts w:ascii="Times New Roman" w:hAnsi="Times New Roman" w:eastAsia="仿宋_GB2312" w:cs="Times New Roman"/>
          <w:sz w:val="32"/>
          <w:szCs w:val="32"/>
        </w:rPr>
        <w:t>主要是</w:t>
      </w:r>
      <w:r>
        <w:rPr>
          <w:rFonts w:hint="eastAsia" w:ascii="Times New Roman" w:hAnsi="Times New Roman" w:eastAsia="仿宋_GB2312" w:cs="Times New Roman"/>
          <w:sz w:val="32"/>
          <w:szCs w:val="32"/>
          <w:lang w:val="en-US" w:eastAsia="zh-CN"/>
        </w:rPr>
        <w:t>车辆修理、油料、保险、过桥以及其他等</w:t>
      </w:r>
      <w:r>
        <w:rPr>
          <w:rFonts w:ascii="Times New Roman" w:hAnsi="Times New Roman" w:eastAsia="仿宋_GB2312" w:cs="Times New Roman"/>
          <w:sz w:val="32"/>
          <w:szCs w:val="32"/>
        </w:rPr>
        <w:t>支出，完成预算的</w:t>
      </w:r>
      <w:r>
        <w:rPr>
          <w:rFonts w:hint="eastAsia" w:ascii="Times New Roman" w:hAnsi="Times New Roman" w:eastAsia="仿宋_GB2312" w:cs="Times New Roman"/>
          <w:sz w:val="32"/>
          <w:szCs w:val="32"/>
          <w:lang w:val="en-US" w:eastAsia="zh-CN"/>
        </w:rPr>
        <w:t>73.88</w:t>
      </w:r>
      <w:r>
        <w:rPr>
          <w:rFonts w:ascii="Times New Roman" w:hAnsi="Times New Roman" w:eastAsia="仿宋_GB2312" w:cs="Times New Roman"/>
          <w:sz w:val="32"/>
          <w:szCs w:val="32"/>
        </w:rPr>
        <w:t>%；与上年相比增加</w:t>
      </w:r>
      <w:r>
        <w:rPr>
          <w:rFonts w:hint="eastAsia" w:ascii="Times New Roman" w:hAnsi="Times New Roman" w:eastAsia="仿宋_GB2312" w:cs="Times New Roman"/>
          <w:sz w:val="32"/>
          <w:szCs w:val="32"/>
          <w:lang w:val="en-US" w:eastAsia="zh-CN"/>
        </w:rPr>
        <w:t>81.36</w:t>
      </w:r>
      <w:r>
        <w:rPr>
          <w:rFonts w:ascii="Times New Roman" w:hAnsi="Times New Roman" w:eastAsia="仿宋_GB2312" w:cs="Times New Roman"/>
          <w:sz w:val="32"/>
          <w:szCs w:val="32"/>
        </w:rPr>
        <w:t>万元，增长</w:t>
      </w:r>
      <w:r>
        <w:rPr>
          <w:rFonts w:hint="eastAsia" w:ascii="Times New Roman" w:hAnsi="Times New Roman" w:eastAsia="仿宋_GB2312" w:cs="Times New Roman"/>
          <w:sz w:val="32"/>
          <w:szCs w:val="32"/>
          <w:lang w:val="en-US" w:eastAsia="zh-CN"/>
        </w:rPr>
        <w:t>30.69</w:t>
      </w:r>
      <w:r>
        <w:rPr>
          <w:rFonts w:ascii="Times New Roman" w:hAnsi="Times New Roman" w:eastAsia="仿宋_GB2312" w:cs="Times New Roman"/>
          <w:sz w:val="32"/>
          <w:szCs w:val="32"/>
        </w:rPr>
        <w:t>%。决算数小于预算数的主要原因是</w:t>
      </w:r>
      <w:r>
        <w:rPr>
          <w:rFonts w:hint="eastAsia" w:ascii="Times New Roman" w:hAnsi="Times New Roman" w:eastAsia="仿宋_GB2312"/>
          <w:sz w:val="32"/>
          <w:szCs w:val="32"/>
          <w:lang w:val="en-US" w:eastAsia="zh-CN"/>
        </w:rPr>
        <w:t>厉行节约，严格控制公务用车</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none"/>
        </w:rPr>
        <w:t>决算数大于上年数的主要原因是</w:t>
      </w:r>
      <w:r>
        <w:rPr>
          <w:rFonts w:hint="eastAsia" w:ascii="Times New Roman" w:hAnsi="Times New Roman" w:eastAsia="仿宋_GB2312"/>
          <w:sz w:val="32"/>
          <w:szCs w:val="32"/>
          <w:highlight w:val="none"/>
          <w:lang w:val="en-US" w:eastAsia="zh-CN"/>
        </w:rPr>
        <w:t>支队新购车辆所以车辆修理、油料、保险费用增加</w:t>
      </w:r>
      <w:r>
        <w:rPr>
          <w:rFonts w:ascii="Times New Roman" w:hAnsi="Times New Roman" w:eastAsia="仿宋_GB2312" w:cs="Times New Roman"/>
          <w:sz w:val="32"/>
          <w:szCs w:val="32"/>
          <w:highlight w:val="none"/>
        </w:rPr>
        <w:t>。截止</w:t>
      </w:r>
      <w:r>
        <w:rPr>
          <w:rFonts w:hint="eastAsia" w:ascii="Times New Roman" w:hAnsi="Times New Roman" w:eastAsia="仿宋_GB2312" w:cs="Times New Roman"/>
          <w:sz w:val="32"/>
          <w:szCs w:val="32"/>
          <w:highlight w:val="none"/>
          <w:lang w:eastAsia="zh-CN"/>
        </w:rPr>
        <w:t>到</w:t>
      </w:r>
      <w:r>
        <w:rPr>
          <w:rFonts w:ascii="Times New Roman" w:hAnsi="Times New Roman" w:eastAsia="仿宋_GB2312" w:cs="Times New Roman"/>
          <w:sz w:val="32"/>
          <w:szCs w:val="32"/>
          <w:highlight w:val="none"/>
        </w:rPr>
        <w:t>2024年12月31日，我单位开支财政拨款的公务用车保有量为</w:t>
      </w:r>
      <w:r>
        <w:rPr>
          <w:rFonts w:hint="eastAsia" w:ascii="Times New Roman" w:hAnsi="Times New Roman" w:eastAsia="仿宋_GB2312" w:cs="Times New Roman"/>
          <w:sz w:val="32"/>
          <w:szCs w:val="32"/>
          <w:highlight w:val="none"/>
          <w:lang w:val="en-US" w:eastAsia="zh-CN"/>
        </w:rPr>
        <w:t>99</w:t>
      </w:r>
      <w:r>
        <w:rPr>
          <w:rFonts w:ascii="Times New Roman" w:hAnsi="Times New Roman" w:eastAsia="仿宋_GB2312" w:cs="Times New Roman"/>
          <w:sz w:val="32"/>
          <w:szCs w:val="32"/>
          <w:highlight w:val="none"/>
        </w:rPr>
        <w:t>辆。</w:t>
      </w:r>
    </w:p>
    <w:p>
      <w:pPr>
        <w:numPr>
          <w:ilvl w:val="0"/>
          <w:numId w:val="0"/>
        </w:numPr>
        <w:ind w:firstLine="640" w:firstLineChars="200"/>
        <w:rPr>
          <w:rFonts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lang w:val="en-US" w:eastAsia="zh-CN"/>
        </w:rPr>
        <w:t>3.</w:t>
      </w:r>
      <w:r>
        <w:rPr>
          <w:rFonts w:ascii="Times New Roman" w:hAnsi="Times New Roman" w:eastAsia="仿宋_GB2312" w:cs="Times New Roman"/>
          <w:sz w:val="32"/>
          <w:szCs w:val="32"/>
        </w:rPr>
        <w:t>公务接待费支出预算为</w:t>
      </w:r>
      <w:r>
        <w:rPr>
          <w:rFonts w:hint="eastAsia" w:ascii="Times New Roman" w:hAnsi="Times New Roman" w:eastAsia="仿宋_GB2312" w:cs="Times New Roman"/>
          <w:sz w:val="32"/>
          <w:szCs w:val="32"/>
          <w:lang w:val="en-US" w:eastAsia="zh-CN"/>
        </w:rPr>
        <w:t>6</w:t>
      </w:r>
      <w:r>
        <w:rPr>
          <w:rFonts w:ascii="Times New Roman" w:hAnsi="Times New Roman" w:eastAsia="仿宋_GB2312" w:cs="Times New Roman"/>
          <w:sz w:val="32"/>
          <w:szCs w:val="32"/>
        </w:rPr>
        <w:t>万元，支出决算为</w:t>
      </w:r>
      <w:r>
        <w:rPr>
          <w:rFonts w:hint="eastAsia" w:ascii="Times New Roman" w:hAnsi="Times New Roman" w:eastAsia="仿宋_GB2312" w:cs="Times New Roman"/>
          <w:sz w:val="32"/>
          <w:szCs w:val="32"/>
          <w:lang w:val="en-US" w:eastAsia="zh-CN"/>
        </w:rPr>
        <w:t>0.89</w:t>
      </w:r>
      <w:r>
        <w:rPr>
          <w:rFonts w:ascii="Times New Roman" w:hAnsi="Times New Roman" w:eastAsia="仿宋_GB2312" w:cs="Times New Roman"/>
          <w:sz w:val="32"/>
          <w:szCs w:val="32"/>
        </w:rPr>
        <w:t>万元，完成预算的</w:t>
      </w:r>
      <w:r>
        <w:rPr>
          <w:rFonts w:hint="eastAsia" w:ascii="Times New Roman" w:hAnsi="Times New Roman" w:eastAsia="仿宋_GB2312" w:cs="Times New Roman"/>
          <w:sz w:val="32"/>
          <w:szCs w:val="32"/>
          <w:lang w:val="en-US" w:eastAsia="zh-CN"/>
        </w:rPr>
        <w:t>14.83</w:t>
      </w:r>
      <w:r>
        <w:rPr>
          <w:rFonts w:ascii="Times New Roman" w:hAnsi="Times New Roman" w:eastAsia="仿宋_GB2312" w:cs="Times New Roman"/>
          <w:sz w:val="32"/>
          <w:szCs w:val="32"/>
        </w:rPr>
        <w:t>%；与上年相比减少</w:t>
      </w:r>
      <w:r>
        <w:rPr>
          <w:rFonts w:hint="eastAsia" w:ascii="Times New Roman" w:hAnsi="Times New Roman" w:eastAsia="仿宋_GB2312" w:cs="Times New Roman"/>
          <w:sz w:val="32"/>
          <w:szCs w:val="32"/>
          <w:lang w:val="en-US" w:eastAsia="zh-CN"/>
        </w:rPr>
        <w:t>0.55</w:t>
      </w:r>
      <w:r>
        <w:rPr>
          <w:rFonts w:ascii="Times New Roman" w:hAnsi="Times New Roman" w:eastAsia="仿宋_GB2312" w:cs="Times New Roman"/>
          <w:sz w:val="32"/>
          <w:szCs w:val="32"/>
        </w:rPr>
        <w:t>万元，降低</w:t>
      </w:r>
      <w:r>
        <w:rPr>
          <w:rFonts w:hint="eastAsia" w:ascii="Times New Roman" w:hAnsi="Times New Roman" w:eastAsia="仿宋_GB2312" w:cs="Times New Roman"/>
          <w:sz w:val="32"/>
          <w:szCs w:val="32"/>
          <w:lang w:val="en-US" w:eastAsia="zh-CN"/>
        </w:rPr>
        <w:t>38.19</w:t>
      </w:r>
      <w:r>
        <w:rPr>
          <w:rFonts w:ascii="Times New Roman" w:hAnsi="Times New Roman" w:eastAsia="仿宋_GB2312" w:cs="Times New Roman"/>
          <w:sz w:val="32"/>
          <w:szCs w:val="32"/>
        </w:rPr>
        <w:t>%。决算数小于预算数的主要原因是</w:t>
      </w:r>
      <w:r>
        <w:rPr>
          <w:rFonts w:hint="eastAsia" w:ascii="Times New Roman" w:hAnsi="Times New Roman" w:eastAsia="仿宋_GB2312" w:cs="Times New Roman"/>
          <w:sz w:val="32"/>
          <w:szCs w:val="32"/>
          <w:lang w:val="en-US" w:eastAsia="zh-CN"/>
        </w:rPr>
        <w:t>严格执行中央八项规定</w:t>
      </w:r>
      <w:r>
        <w:rPr>
          <w:rFonts w:ascii="Times New Roman" w:hAnsi="Times New Roman" w:eastAsia="仿宋_GB2312" w:cs="Times New Roman"/>
          <w:sz w:val="32"/>
          <w:szCs w:val="32"/>
        </w:rPr>
        <w:t>。决算数小于上年数的主要原因是</w:t>
      </w:r>
      <w:r>
        <w:rPr>
          <w:rFonts w:hint="eastAsia" w:ascii="Times New Roman" w:hAnsi="Times New Roman" w:eastAsia="仿宋_GB2312" w:cs="Times New Roman"/>
          <w:sz w:val="32"/>
          <w:szCs w:val="32"/>
          <w:lang w:val="en-US" w:eastAsia="zh-CN"/>
        </w:rPr>
        <w:t>按有关政策厉行节约，严控公务接待支出</w:t>
      </w:r>
      <w:r>
        <w:rPr>
          <w:rFonts w:ascii="Times New Roman" w:hAnsi="Times New Roman" w:eastAsia="仿宋_GB2312" w:cs="Times New Roman"/>
          <w:sz w:val="32"/>
          <w:szCs w:val="32"/>
        </w:rPr>
        <w:t>。</w:t>
      </w:r>
      <w:r>
        <w:rPr>
          <w:rFonts w:ascii="Times New Roman" w:hAnsi="Times New Roman" w:eastAsia="仿宋_GB2312" w:cs="Times New Roman"/>
          <w:sz w:val="32"/>
          <w:szCs w:val="32"/>
          <w:highlight w:val="none"/>
        </w:rPr>
        <w:t>2024年度共接待来访团组</w:t>
      </w:r>
      <w:r>
        <w:rPr>
          <w:rFonts w:hint="eastAsia" w:ascii="Times New Roman" w:hAnsi="Times New Roman" w:eastAsia="仿宋_GB2312" w:cs="Times New Roman"/>
          <w:sz w:val="32"/>
          <w:szCs w:val="32"/>
          <w:highlight w:val="none"/>
          <w:lang w:val="en-US" w:eastAsia="zh-CN"/>
        </w:rPr>
        <w:t>10</w:t>
      </w:r>
      <w:r>
        <w:rPr>
          <w:rFonts w:ascii="Times New Roman" w:hAnsi="Times New Roman" w:eastAsia="仿宋_GB2312" w:cs="Times New Roman"/>
          <w:sz w:val="32"/>
          <w:szCs w:val="32"/>
          <w:highlight w:val="none"/>
        </w:rPr>
        <w:t>个、来宾</w:t>
      </w:r>
      <w:r>
        <w:rPr>
          <w:rFonts w:hint="eastAsia" w:ascii="Times New Roman" w:hAnsi="Times New Roman" w:eastAsia="仿宋_GB2312" w:cs="Times New Roman"/>
          <w:sz w:val="32"/>
          <w:szCs w:val="32"/>
          <w:highlight w:val="none"/>
          <w:lang w:val="en-US" w:eastAsia="zh-CN"/>
        </w:rPr>
        <w:t>77</w:t>
      </w:r>
      <w:r>
        <w:rPr>
          <w:rFonts w:ascii="Times New Roman" w:hAnsi="Times New Roman" w:eastAsia="仿宋_GB2312" w:cs="Times New Roman"/>
          <w:sz w:val="32"/>
          <w:szCs w:val="32"/>
          <w:highlight w:val="none"/>
        </w:rPr>
        <w:t>人次，主要是</w:t>
      </w:r>
      <w:r>
        <w:rPr>
          <w:rFonts w:hint="eastAsia" w:ascii="Times New Roman" w:hAnsi="Times New Roman" w:eastAsia="仿宋_GB2312" w:cs="Times New Roman"/>
          <w:sz w:val="32"/>
          <w:szCs w:val="32"/>
          <w:highlight w:val="none"/>
          <w:lang w:val="en-US" w:eastAsia="zh-CN"/>
        </w:rPr>
        <w:t>开展执法调研督察、全省春运交通安保督导、省整治办督查组检查工作、城区停车秩序治理工作学习等</w:t>
      </w:r>
      <w:r>
        <w:rPr>
          <w:rFonts w:ascii="Times New Roman" w:hAnsi="Times New Roman" w:eastAsia="仿宋_GB2312" w:cs="Times New Roman"/>
          <w:sz w:val="32"/>
          <w:szCs w:val="32"/>
          <w:highlight w:val="none"/>
        </w:rPr>
        <w:t>发生的接待支出。</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ascii="Times New Roman" w:hAnsi="Times New Roman" w:eastAsia="仿宋_GB2312"/>
          <w:b/>
          <w:color w:val="auto"/>
          <w:sz w:val="32"/>
          <w:szCs w:val="32"/>
        </w:rPr>
      </w:pPr>
      <w:r>
        <w:rPr>
          <w:rFonts w:hint="eastAsia" w:ascii="Times New Roman" w:hAnsi="Times New Roman" w:eastAsia="仿宋_GB2312"/>
          <w:b/>
          <w:color w:val="auto"/>
          <w:sz w:val="32"/>
          <w:szCs w:val="32"/>
          <w:lang w:eastAsia="zh-CN"/>
        </w:rPr>
        <w:t>十</w:t>
      </w:r>
      <w:r>
        <w:rPr>
          <w:rFonts w:hint="eastAsia" w:ascii="Times New Roman" w:hAnsi="Times New Roman" w:eastAsia="仿宋_GB2312"/>
          <w:b/>
          <w:color w:val="auto"/>
          <w:sz w:val="32"/>
          <w:szCs w:val="32"/>
        </w:rPr>
        <w:t>、关于机关运行经费支出说明</w:t>
      </w:r>
    </w:p>
    <w:p>
      <w:pPr>
        <w:pStyle w:val="12"/>
        <w:ind w:firstLine="640" w:firstLineChars="200"/>
        <w:rPr>
          <w:rFonts w:ascii="Times New Roman" w:hAnsi="Times New Roman" w:eastAsia="仿宋_GB2312"/>
          <w:sz w:val="32"/>
          <w:szCs w:val="32"/>
          <w:highlight w:val="none"/>
        </w:rPr>
      </w:pPr>
      <w:r>
        <w:rPr>
          <w:rFonts w:hint="eastAsia" w:ascii="仿宋_GB2312" w:hAnsi="仿宋_GB2312" w:eastAsia="仿宋_GB2312" w:cs="仿宋_GB2312"/>
          <w:sz w:val="32"/>
          <w:szCs w:val="32"/>
        </w:rPr>
        <w:t>本部门202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年度机关运行经费支出4329.9</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highlight w:val="none"/>
        </w:rPr>
        <w:t>比上年决算数减少</w:t>
      </w:r>
      <w:r>
        <w:rPr>
          <w:rFonts w:hint="eastAsia" w:ascii="仿宋_GB2312" w:hAnsi="仿宋_GB2312" w:eastAsia="仿宋_GB2312" w:cs="仿宋_GB2312"/>
          <w:sz w:val="32"/>
          <w:szCs w:val="32"/>
          <w:highlight w:val="none"/>
          <w:lang w:val="en-US" w:eastAsia="zh-CN"/>
        </w:rPr>
        <w:t>4800.92</w:t>
      </w:r>
      <w:r>
        <w:rPr>
          <w:rFonts w:hint="eastAsia" w:ascii="仿宋_GB2312" w:hAnsi="仿宋_GB2312" w:eastAsia="仿宋_GB2312" w:cs="仿宋_GB2312"/>
          <w:sz w:val="32"/>
          <w:szCs w:val="32"/>
          <w:highlight w:val="none"/>
        </w:rPr>
        <w:t>万元，降低</w:t>
      </w:r>
      <w:r>
        <w:rPr>
          <w:rFonts w:hint="eastAsia" w:ascii="仿宋_GB2312" w:hAnsi="仿宋_GB2312" w:eastAsia="仿宋_GB2312" w:cs="仿宋_GB2312"/>
          <w:sz w:val="32"/>
          <w:szCs w:val="32"/>
          <w:highlight w:val="none"/>
          <w:lang w:val="en-US" w:eastAsia="zh-CN"/>
        </w:rPr>
        <w:t>52.58</w:t>
      </w:r>
      <w:r>
        <w:rPr>
          <w:rFonts w:hint="eastAsia" w:ascii="仿宋_GB2312" w:hAnsi="仿宋_GB2312" w:eastAsia="仿宋_GB2312" w:cs="仿宋_GB2312"/>
          <w:sz w:val="32"/>
          <w:szCs w:val="32"/>
          <w:highlight w:val="none"/>
        </w:rPr>
        <w:t>%。主要原因是：</w:t>
      </w:r>
      <w:r>
        <w:rPr>
          <w:rFonts w:hint="eastAsia" w:ascii="仿宋_GB2312" w:hAnsi="仿宋_GB2312" w:eastAsia="仿宋_GB2312" w:cs="仿宋_GB2312"/>
          <w:sz w:val="32"/>
          <w:szCs w:val="32"/>
          <w:highlight w:val="none"/>
          <w:lang w:val="en-US" w:eastAsia="zh-CN"/>
        </w:rPr>
        <w:t>根据财政预算批复项目进行了账务调整。</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十</w:t>
      </w:r>
      <w:r>
        <w:rPr>
          <w:rFonts w:hint="eastAsia" w:hAnsi="黑体" w:cs="黑体"/>
          <w:b w:val="0"/>
          <w:bCs/>
          <w:sz w:val="32"/>
          <w:szCs w:val="32"/>
          <w:lang w:eastAsia="zh-CN"/>
        </w:rPr>
        <w:t>一</w:t>
      </w:r>
      <w:r>
        <w:rPr>
          <w:rFonts w:hint="eastAsia" w:ascii="黑体" w:hAnsi="黑体" w:eastAsia="黑体" w:cs="黑体"/>
          <w:b w:val="0"/>
          <w:bCs/>
          <w:sz w:val="32"/>
          <w:szCs w:val="32"/>
        </w:rPr>
        <w:t>、一般性支出情况说明</w:t>
      </w:r>
    </w:p>
    <w:p>
      <w:pPr>
        <w:pStyle w:val="12"/>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本单位无会议费的预算和支出决算数。</w:t>
      </w:r>
    </w:p>
    <w:p>
      <w:pPr>
        <w:pStyle w:val="12"/>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培训费年初预算0万元，</w:t>
      </w:r>
      <w:r>
        <w:rPr>
          <w:rFonts w:hint="eastAsia" w:ascii="仿宋_GB2312" w:hAnsi="仿宋_GB2312" w:eastAsia="仿宋_GB2312" w:cs="仿宋_GB2312"/>
          <w:color w:val="000000"/>
          <w:kern w:val="0"/>
          <w:sz w:val="32"/>
          <w:szCs w:val="32"/>
          <w:highlight w:val="none"/>
          <w:lang w:val="en-US" w:eastAsia="zh-CN" w:bidi="ar-SA"/>
        </w:rPr>
        <w:t>支出决算为4.69万元</w:t>
      </w:r>
      <w:r>
        <w:rPr>
          <w:rFonts w:hint="eastAsia" w:ascii="仿宋_GB2312" w:hAnsi="仿宋_GB2312" w:eastAsia="仿宋_GB2312" w:cs="仿宋_GB2312"/>
          <w:color w:val="000000"/>
          <w:kern w:val="0"/>
          <w:sz w:val="32"/>
          <w:szCs w:val="32"/>
          <w:lang w:val="en-US" w:eastAsia="zh-CN" w:bidi="ar-SA"/>
        </w:rPr>
        <w:t>，</w:t>
      </w:r>
      <w:r>
        <w:rPr>
          <w:rFonts w:hint="eastAsia" w:ascii="仿宋_GB2312" w:hAnsi="仿宋_GB2312" w:eastAsia="仿宋_GB2312" w:cs="仿宋_GB2312"/>
          <w:sz w:val="32"/>
          <w:szCs w:val="32"/>
          <w:highlight w:val="none"/>
          <w:lang w:val="en-US" w:eastAsia="zh-CN"/>
        </w:rPr>
        <w:t>决算数大于年初预算数的主要原因是</w:t>
      </w:r>
      <w:r>
        <w:rPr>
          <w:rFonts w:hint="eastAsia" w:ascii="仿宋_GB2312" w:hAnsi="仿宋_GB2312" w:eastAsia="仿宋_GB2312" w:cs="仿宋_GB2312"/>
          <w:color w:val="000000"/>
          <w:kern w:val="0"/>
          <w:sz w:val="32"/>
          <w:szCs w:val="32"/>
          <w:highlight w:val="none"/>
          <w:lang w:val="en-US" w:eastAsia="zh-CN" w:bidi="ar-SA"/>
        </w:rPr>
        <w:t>用于开展全省实战大练兵抽考民警培训、</w:t>
      </w:r>
      <w:r>
        <w:rPr>
          <w:rFonts w:hint="eastAsia" w:ascii="仿宋_GB2312" w:hAnsi="仿宋_GB2312" w:eastAsia="仿宋_GB2312" w:cs="仿宋_GB2312"/>
          <w:sz w:val="32"/>
          <w:szCs w:val="32"/>
          <w:highlight w:val="none"/>
          <w:lang w:val="en-US" w:eastAsia="zh-CN"/>
        </w:rPr>
        <w:t>八个一律比武、晋衔晋升培训、新警培训、警务实战专题培训，</w:t>
      </w:r>
      <w:r>
        <w:rPr>
          <w:rFonts w:hint="eastAsia" w:ascii="仿宋_GB2312" w:hAnsi="仿宋_GB2312" w:eastAsia="仿宋_GB2312" w:cs="仿宋_GB2312"/>
          <w:color w:val="000000"/>
          <w:kern w:val="0"/>
          <w:sz w:val="32"/>
          <w:szCs w:val="32"/>
          <w:highlight w:val="none"/>
          <w:lang w:val="en-US" w:eastAsia="zh-CN" w:bidi="ar-SA"/>
        </w:rPr>
        <w:t>人数130人，</w:t>
      </w:r>
      <w:r>
        <w:rPr>
          <w:rFonts w:hint="eastAsia" w:ascii="仿宋_GB2312" w:hAnsi="仿宋_GB2312" w:eastAsia="仿宋_GB2312" w:cs="仿宋_GB2312"/>
          <w:color w:val="000000"/>
          <w:kern w:val="0"/>
          <w:sz w:val="32"/>
          <w:szCs w:val="32"/>
          <w:lang w:val="en-US" w:eastAsia="zh-CN" w:bidi="ar-SA"/>
        </w:rPr>
        <w:t>内容为</w:t>
      </w:r>
      <w:r>
        <w:rPr>
          <w:rFonts w:hint="eastAsia" w:ascii="Times New Roman" w:hAnsi="Times New Roman" w:eastAsia="仿宋_GB2312"/>
          <w:sz w:val="32"/>
          <w:szCs w:val="32"/>
          <w:lang w:val="en-US" w:eastAsia="zh-CN"/>
        </w:rPr>
        <w:t>民辅警业务及集中教育培训</w:t>
      </w:r>
      <w:r>
        <w:rPr>
          <w:rFonts w:hint="eastAsia" w:ascii="仿宋_GB2312" w:hAnsi="仿宋_GB2312" w:eastAsia="仿宋_GB2312" w:cs="仿宋_GB2312"/>
          <w:color w:val="000000"/>
          <w:kern w:val="0"/>
          <w:sz w:val="32"/>
          <w:szCs w:val="32"/>
          <w:lang w:val="en-US" w:eastAsia="zh-CN" w:bidi="ar-SA"/>
        </w:rPr>
        <w:t>。</w:t>
      </w:r>
    </w:p>
    <w:p>
      <w:pPr>
        <w:pStyle w:val="12"/>
        <w:ind w:firstLine="640" w:firstLineChars="200"/>
        <w:rPr>
          <w:rFonts w:hint="eastAsia" w:ascii="仿宋_GB2312" w:hAnsi="仿宋_GB2312" w:eastAsia="仿宋_GB2312" w:cs="仿宋_GB2312"/>
          <w:color w:val="000000"/>
          <w:kern w:val="0"/>
          <w:sz w:val="32"/>
          <w:szCs w:val="32"/>
          <w:lang w:val="en-US" w:eastAsia="zh-CN" w:bidi="ar-SA"/>
        </w:rPr>
      </w:pPr>
      <w:r>
        <w:rPr>
          <w:rFonts w:hint="eastAsia" w:ascii="仿宋_GB2312" w:hAnsi="仿宋_GB2312" w:eastAsia="仿宋_GB2312" w:cs="仿宋_GB2312"/>
          <w:color w:val="000000"/>
          <w:kern w:val="0"/>
          <w:sz w:val="32"/>
          <w:szCs w:val="32"/>
          <w:lang w:val="en-US" w:eastAsia="zh-CN" w:bidi="ar-SA"/>
        </w:rPr>
        <w:t>本单位无举办节庆、晚会、论坛、赛事等活动的预算和支出决算数。</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十</w:t>
      </w:r>
      <w:r>
        <w:rPr>
          <w:rFonts w:hint="eastAsia" w:hAnsi="黑体" w:cs="黑体"/>
          <w:b w:val="0"/>
          <w:bCs/>
          <w:sz w:val="32"/>
          <w:szCs w:val="32"/>
          <w:highlight w:val="none"/>
          <w:lang w:eastAsia="zh-CN"/>
        </w:rPr>
        <w:t>二</w:t>
      </w:r>
      <w:r>
        <w:rPr>
          <w:rFonts w:hint="eastAsia" w:ascii="黑体" w:hAnsi="黑体" w:eastAsia="黑体" w:cs="黑体"/>
          <w:b w:val="0"/>
          <w:bCs/>
          <w:sz w:val="32"/>
          <w:szCs w:val="32"/>
          <w:highlight w:val="none"/>
        </w:rPr>
        <w:t>、关于政府采购支出说明</w:t>
      </w:r>
    </w:p>
    <w:p>
      <w:pPr>
        <w:pStyle w:val="12"/>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sz w:val="32"/>
          <w:szCs w:val="32"/>
          <w:highlight w:val="none"/>
        </w:rPr>
        <w:t>本部门202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年度政府采购支出总额</w:t>
      </w:r>
      <w:r>
        <w:rPr>
          <w:rFonts w:hint="eastAsia" w:ascii="仿宋_GB2312" w:hAnsi="仿宋_GB2312" w:eastAsia="仿宋_GB2312" w:cs="仿宋_GB2312"/>
          <w:sz w:val="32"/>
          <w:szCs w:val="32"/>
          <w:highlight w:val="none"/>
          <w:lang w:val="en-US" w:eastAsia="zh-CN"/>
        </w:rPr>
        <w:t>1455.96</w:t>
      </w:r>
      <w:r>
        <w:rPr>
          <w:rFonts w:hint="eastAsia" w:ascii="仿宋_GB2312" w:hAnsi="仿宋_GB2312" w:eastAsia="仿宋_GB2312" w:cs="仿宋_GB2312"/>
          <w:sz w:val="32"/>
          <w:szCs w:val="32"/>
          <w:highlight w:val="none"/>
        </w:rPr>
        <w:t>万元，其中：政府采购货物支出</w:t>
      </w:r>
      <w:r>
        <w:rPr>
          <w:rFonts w:hint="eastAsia" w:ascii="仿宋_GB2312" w:hAnsi="仿宋_GB2312" w:eastAsia="仿宋_GB2312" w:cs="仿宋_GB2312"/>
          <w:sz w:val="32"/>
          <w:szCs w:val="32"/>
          <w:highlight w:val="none"/>
          <w:lang w:val="en-US" w:eastAsia="zh-CN"/>
        </w:rPr>
        <w:t>88.05</w:t>
      </w:r>
      <w:r>
        <w:rPr>
          <w:rFonts w:hint="eastAsia" w:ascii="仿宋_GB2312" w:hAnsi="仿宋_GB2312" w:eastAsia="仿宋_GB2312" w:cs="仿宋_GB2312"/>
          <w:sz w:val="32"/>
          <w:szCs w:val="32"/>
          <w:highlight w:val="none"/>
        </w:rPr>
        <w:t>万元、政府采购工程支出</w:t>
      </w:r>
      <w:r>
        <w:rPr>
          <w:rFonts w:hint="eastAsia" w:ascii="仿宋_GB2312" w:hAnsi="仿宋_GB2312" w:eastAsia="仿宋_GB2312" w:cs="仿宋_GB2312"/>
          <w:sz w:val="32"/>
          <w:szCs w:val="32"/>
          <w:highlight w:val="none"/>
          <w:lang w:val="en-US" w:eastAsia="zh-CN"/>
        </w:rPr>
        <w:t>126.17</w:t>
      </w:r>
      <w:r>
        <w:rPr>
          <w:rFonts w:hint="eastAsia" w:ascii="仿宋_GB2312" w:hAnsi="仿宋_GB2312" w:eastAsia="仿宋_GB2312" w:cs="仿宋_GB2312"/>
          <w:sz w:val="32"/>
          <w:szCs w:val="32"/>
          <w:highlight w:val="none"/>
        </w:rPr>
        <w:t>万元、政府采购服务支出</w:t>
      </w:r>
      <w:r>
        <w:rPr>
          <w:rFonts w:hint="eastAsia" w:ascii="仿宋_GB2312" w:hAnsi="仿宋_GB2312" w:eastAsia="仿宋_GB2312" w:cs="仿宋_GB2312"/>
          <w:sz w:val="32"/>
          <w:szCs w:val="32"/>
          <w:highlight w:val="none"/>
          <w:lang w:val="en-US" w:eastAsia="zh-CN"/>
        </w:rPr>
        <w:t>1241.74</w:t>
      </w:r>
      <w:r>
        <w:rPr>
          <w:rFonts w:hint="eastAsia" w:ascii="仿宋_GB2312" w:hAnsi="仿宋_GB2312" w:eastAsia="仿宋_GB2312" w:cs="仿宋_GB2312"/>
          <w:sz w:val="32"/>
          <w:szCs w:val="32"/>
          <w:highlight w:val="none"/>
        </w:rPr>
        <w:t>万元。授予中小企业合同金额</w:t>
      </w:r>
      <w:r>
        <w:rPr>
          <w:rFonts w:hint="eastAsia" w:ascii="仿宋_GB2312" w:hAnsi="仿宋_GB2312" w:eastAsia="仿宋_GB2312" w:cs="仿宋_GB2312"/>
          <w:sz w:val="32"/>
          <w:szCs w:val="32"/>
          <w:highlight w:val="none"/>
          <w:lang w:val="en-US" w:eastAsia="zh-CN"/>
        </w:rPr>
        <w:t>1455.96</w:t>
      </w:r>
      <w:r>
        <w:rPr>
          <w:rFonts w:hint="eastAsia" w:ascii="仿宋_GB2312" w:hAnsi="仿宋_GB2312" w:eastAsia="仿宋_GB2312" w:cs="仿宋_GB2312"/>
          <w:sz w:val="32"/>
          <w:szCs w:val="32"/>
          <w:highlight w:val="none"/>
        </w:rPr>
        <w:t>万元，占政府采购支出总额的</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%，其中：授予小微企业合同金额</w:t>
      </w:r>
      <w:r>
        <w:rPr>
          <w:rFonts w:hint="eastAsia" w:ascii="仿宋_GB2312" w:hAnsi="仿宋_GB2312" w:eastAsia="仿宋_GB2312" w:cs="仿宋_GB2312"/>
          <w:sz w:val="32"/>
          <w:szCs w:val="32"/>
          <w:highlight w:val="none"/>
          <w:lang w:val="en-US" w:eastAsia="zh-CN"/>
        </w:rPr>
        <w:t>1455.96</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color w:val="auto"/>
          <w:sz w:val="32"/>
          <w:szCs w:val="32"/>
          <w:highlight w:val="none"/>
        </w:rPr>
        <w:t>占</w:t>
      </w:r>
      <w:r>
        <w:rPr>
          <w:rFonts w:hint="eastAsia" w:ascii="仿宋_GB2312" w:hAnsi="仿宋_GB2312" w:eastAsia="仿宋_GB2312" w:cs="仿宋_GB2312"/>
          <w:color w:val="auto"/>
          <w:sz w:val="32"/>
          <w:szCs w:val="32"/>
          <w:highlight w:val="none"/>
          <w:lang w:eastAsia="zh-CN"/>
        </w:rPr>
        <w:t>授予中小企业合同金额</w:t>
      </w:r>
      <w:r>
        <w:rPr>
          <w:rFonts w:hint="eastAsia" w:ascii="仿宋_GB2312" w:hAnsi="仿宋_GB2312" w:eastAsia="仿宋_GB2312" w:cs="仿宋_GB2312"/>
          <w:color w:val="auto"/>
          <w:sz w:val="32"/>
          <w:szCs w:val="32"/>
          <w:highlight w:val="none"/>
        </w:rPr>
        <w:t>的</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%。货物采购授予中小</w:t>
      </w:r>
      <w:r>
        <w:rPr>
          <w:rFonts w:hint="eastAsia" w:ascii="Times New Roman" w:hAnsi="Times New Roman" w:eastAsia="仿宋_GB2312"/>
          <w:color w:val="auto"/>
          <w:sz w:val="32"/>
          <w:szCs w:val="32"/>
          <w:highlight w:val="none"/>
        </w:rPr>
        <w:t>企业合同金</w:t>
      </w:r>
      <w:r>
        <w:rPr>
          <w:rFonts w:hint="eastAsia" w:ascii="仿宋_GB2312" w:hAnsi="仿宋_GB2312" w:eastAsia="仿宋_GB2312" w:cs="仿宋_GB2312"/>
          <w:color w:val="auto"/>
          <w:sz w:val="32"/>
          <w:szCs w:val="32"/>
          <w:highlight w:val="none"/>
        </w:rPr>
        <w:t>额占货物支出金额的</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%，工程采购授予中小企业合同金额占工程支出金额的</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%，服务采购授予中小企业合同金额占服务支出金额的</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w:t>
      </w:r>
      <w:r>
        <w:rPr>
          <w:rFonts w:hint="eastAsia" w:hAnsi="黑体" w:cs="黑体"/>
          <w:b w:val="0"/>
          <w:bCs/>
          <w:color w:val="auto"/>
          <w:sz w:val="32"/>
          <w:szCs w:val="32"/>
          <w:highlight w:val="none"/>
          <w:lang w:eastAsia="zh-CN"/>
        </w:rPr>
        <w:t>三</w:t>
      </w:r>
      <w:r>
        <w:rPr>
          <w:rFonts w:hint="eastAsia" w:ascii="黑体" w:hAnsi="黑体" w:eastAsia="黑体" w:cs="黑体"/>
          <w:b w:val="0"/>
          <w:bCs/>
          <w:color w:val="auto"/>
          <w:sz w:val="32"/>
          <w:szCs w:val="32"/>
          <w:highlight w:val="none"/>
        </w:rPr>
        <w:t>、关于国有资产占用情况说明</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rPr>
      </w:pPr>
      <w:r>
        <w:rPr>
          <w:rFonts w:hint="eastAsia" w:ascii="仿宋_GB2312" w:hAnsi="仿宋_GB2312" w:eastAsia="仿宋_GB2312" w:cs="仿宋_GB2312"/>
          <w:color w:val="auto"/>
          <w:sz w:val="32"/>
          <w:szCs w:val="32"/>
          <w:highlight w:val="none"/>
        </w:rPr>
        <w:t>截至202</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年12月31日，</w:t>
      </w:r>
      <w:r>
        <w:rPr>
          <w:rFonts w:hint="eastAsia" w:ascii="仿宋_GB2312" w:hAnsi="仿宋_GB2312" w:eastAsia="仿宋_GB2312" w:cs="仿宋_GB2312"/>
          <w:color w:val="auto"/>
          <w:sz w:val="32"/>
          <w:szCs w:val="32"/>
          <w:highlight w:val="none"/>
          <w:lang w:eastAsia="zh-CN"/>
        </w:rPr>
        <w:t>部门（单位）</w:t>
      </w:r>
      <w:r>
        <w:rPr>
          <w:rFonts w:hint="eastAsia" w:ascii="仿宋_GB2312" w:hAnsi="仿宋_GB2312" w:eastAsia="仿宋_GB2312" w:cs="仿宋_GB2312"/>
          <w:color w:val="auto"/>
          <w:sz w:val="32"/>
          <w:szCs w:val="32"/>
          <w:highlight w:val="none"/>
        </w:rPr>
        <w:t>共有车辆</w:t>
      </w:r>
      <w:r>
        <w:rPr>
          <w:rFonts w:hint="eastAsia" w:ascii="仿宋_GB2312" w:hAnsi="仿宋_GB2312" w:eastAsia="仿宋_GB2312" w:cs="仿宋_GB2312"/>
          <w:color w:val="auto"/>
          <w:sz w:val="32"/>
          <w:szCs w:val="32"/>
          <w:highlight w:val="none"/>
          <w:lang w:val="en-US" w:eastAsia="zh-CN"/>
        </w:rPr>
        <w:t>99</w:t>
      </w:r>
      <w:r>
        <w:rPr>
          <w:rFonts w:hint="eastAsia" w:ascii="仿宋_GB2312" w:hAnsi="仿宋_GB2312" w:eastAsia="仿宋_GB2312" w:cs="仿宋_GB2312"/>
          <w:color w:val="auto"/>
          <w:sz w:val="32"/>
          <w:szCs w:val="32"/>
          <w:highlight w:val="none"/>
        </w:rPr>
        <w:t>辆，其中</w:t>
      </w:r>
      <w:r>
        <w:rPr>
          <w:rFonts w:hint="eastAsia" w:ascii="仿宋_GB2312" w:hAnsi="仿宋_GB2312" w:eastAsia="仿宋_GB2312" w:cs="仿宋_GB2312"/>
          <w:color w:val="auto"/>
          <w:sz w:val="32"/>
          <w:szCs w:val="32"/>
          <w:highlight w:val="none"/>
          <w:lang w:eastAsia="zh-CN"/>
        </w:rPr>
        <w:t>，副部（省）级及以上领导用车</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主要</w:t>
      </w:r>
      <w:r>
        <w:rPr>
          <w:rFonts w:hint="eastAsia" w:ascii="仿宋_GB2312" w:hAnsi="仿宋_GB2312" w:eastAsia="仿宋_GB2312" w:cs="仿宋_GB2312"/>
          <w:color w:val="auto"/>
          <w:sz w:val="32"/>
          <w:szCs w:val="32"/>
          <w:highlight w:val="none"/>
          <w:lang w:eastAsia="zh-CN"/>
        </w:rPr>
        <w:t>负责人</w:t>
      </w:r>
      <w:r>
        <w:rPr>
          <w:rFonts w:hint="eastAsia" w:ascii="仿宋_GB2312" w:hAnsi="仿宋_GB2312" w:eastAsia="仿宋_GB2312" w:cs="仿宋_GB2312"/>
          <w:color w:val="auto"/>
          <w:sz w:val="32"/>
          <w:szCs w:val="32"/>
          <w:highlight w:val="none"/>
        </w:rPr>
        <w:t>用车</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机要通信用车</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辆、应急保障用车</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rPr>
        <w:t>辆、执法执勤用车</w:t>
      </w:r>
      <w:r>
        <w:rPr>
          <w:rFonts w:hint="eastAsia" w:ascii="仿宋_GB2312" w:hAnsi="仿宋_GB2312" w:eastAsia="仿宋_GB2312" w:cs="仿宋_GB2312"/>
          <w:color w:val="auto"/>
          <w:sz w:val="32"/>
          <w:szCs w:val="32"/>
          <w:highlight w:val="none"/>
          <w:lang w:val="en-US" w:eastAsia="zh-CN"/>
        </w:rPr>
        <w:t>89</w:t>
      </w:r>
      <w:r>
        <w:rPr>
          <w:rFonts w:hint="eastAsia" w:ascii="仿宋_GB2312" w:hAnsi="仿宋_GB2312" w:eastAsia="仿宋_GB2312" w:cs="仿宋_GB2312"/>
          <w:color w:val="auto"/>
          <w:sz w:val="32"/>
          <w:szCs w:val="32"/>
          <w:highlight w:val="none"/>
        </w:rPr>
        <w:t>辆、特种专业技术用车</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辆、</w:t>
      </w:r>
      <w:r>
        <w:rPr>
          <w:rFonts w:hint="eastAsia" w:ascii="仿宋_GB2312" w:hAnsi="仿宋_GB2312" w:eastAsia="仿宋_GB2312" w:cs="仿宋_GB2312"/>
          <w:color w:val="auto"/>
          <w:sz w:val="32"/>
          <w:szCs w:val="32"/>
          <w:highlight w:val="none"/>
          <w:lang w:eastAsia="zh-CN"/>
        </w:rPr>
        <w:t>离退休干部服务用车</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辆、其他用车</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rPr>
        <w:t>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主要是其他专用车辆等</w:t>
      </w:r>
      <w:bookmarkStart w:id="11" w:name="_GoBack"/>
      <w:bookmarkEnd w:id="11"/>
      <w:r>
        <w:rPr>
          <w:rFonts w:hint="eastAsia" w:ascii="仿宋_GB2312" w:hAnsi="仿宋_GB2312" w:eastAsia="仿宋_GB2312" w:cs="仿宋_GB2312"/>
          <w:color w:val="auto"/>
          <w:sz w:val="32"/>
          <w:szCs w:val="32"/>
          <w:highlight w:val="none"/>
        </w:rPr>
        <w:t>；单位价值100万元以上设备</w:t>
      </w:r>
      <w:r>
        <w:rPr>
          <w:rFonts w:hint="eastAsia" w:ascii="仿宋_GB2312" w:hAnsi="仿宋_GB2312" w:eastAsia="仿宋_GB2312" w:cs="仿宋_GB2312"/>
          <w:color w:val="auto"/>
          <w:sz w:val="32"/>
          <w:szCs w:val="32"/>
          <w:highlight w:val="none"/>
          <w:lang w:eastAsia="zh-CN"/>
        </w:rPr>
        <w:t>（不含车辆）</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台（套）。</w:t>
      </w:r>
    </w:p>
    <w:p>
      <w:pPr>
        <w:pStyle w:val="12"/>
        <w:keepNext w:val="0"/>
        <w:keepLines w:val="0"/>
        <w:pageBreakBefore w:val="0"/>
        <w:widowControl w:val="0"/>
        <w:kinsoku/>
        <w:wordWrap/>
        <w:overflowPunct/>
        <w:topLinePunct w:val="0"/>
        <w:autoSpaceDE w:val="0"/>
        <w:autoSpaceDN w:val="0"/>
        <w:bidi w:val="0"/>
        <w:adjustRightInd w:val="0"/>
        <w:snapToGrid/>
        <w:spacing w:line="580" w:lineRule="exact"/>
        <w:ind w:firstLine="640" w:firstLineChars="200"/>
        <w:textAlignment w:val="auto"/>
        <w:rPr>
          <w:rFonts w:hint="eastAsia" w:ascii="黑体" w:hAnsi="黑体" w:eastAsia="黑体" w:cs="黑体"/>
          <w:b w:val="0"/>
          <w:bCs/>
          <w:color w:val="auto"/>
          <w:sz w:val="32"/>
          <w:szCs w:val="32"/>
          <w:highlight w:val="none"/>
        </w:rPr>
      </w:pPr>
      <w:r>
        <w:rPr>
          <w:rFonts w:hint="eastAsia" w:ascii="黑体" w:hAnsi="黑体" w:eastAsia="黑体" w:cs="黑体"/>
          <w:b w:val="0"/>
          <w:bCs/>
          <w:color w:val="auto"/>
          <w:sz w:val="32"/>
          <w:szCs w:val="32"/>
          <w:highlight w:val="none"/>
        </w:rPr>
        <w:t>十</w:t>
      </w:r>
      <w:r>
        <w:rPr>
          <w:rFonts w:hint="eastAsia" w:hAnsi="黑体" w:cs="黑体"/>
          <w:b w:val="0"/>
          <w:bCs/>
          <w:color w:val="auto"/>
          <w:sz w:val="32"/>
          <w:szCs w:val="32"/>
          <w:highlight w:val="none"/>
          <w:lang w:eastAsia="zh-CN"/>
        </w:rPr>
        <w:t>四</w:t>
      </w:r>
      <w:r>
        <w:rPr>
          <w:rFonts w:hint="eastAsia" w:ascii="黑体" w:hAnsi="黑体" w:eastAsia="黑体" w:cs="黑体"/>
          <w:b w:val="0"/>
          <w:bCs/>
          <w:color w:val="auto"/>
          <w:sz w:val="32"/>
          <w:szCs w:val="32"/>
          <w:highlight w:val="none"/>
        </w:rPr>
        <w:t>、关于</w:t>
      </w:r>
      <w:r>
        <w:rPr>
          <w:rFonts w:hint="eastAsia" w:ascii="Times New Roman" w:hAnsi="Times New Roman" w:eastAsia="仿宋_GB2312"/>
          <w:color w:val="auto"/>
          <w:sz w:val="32"/>
          <w:szCs w:val="32"/>
          <w:highlight w:val="none"/>
        </w:rPr>
        <w:t>202</w:t>
      </w:r>
      <w:r>
        <w:rPr>
          <w:rFonts w:hint="eastAsia" w:ascii="Times New Roman" w:hAnsi="Times New Roman" w:eastAsia="仿宋_GB2312"/>
          <w:color w:val="auto"/>
          <w:sz w:val="32"/>
          <w:szCs w:val="32"/>
          <w:highlight w:val="none"/>
          <w:lang w:val="en-US" w:eastAsia="zh-CN"/>
        </w:rPr>
        <w:t>4</w:t>
      </w:r>
      <w:r>
        <w:rPr>
          <w:rFonts w:hint="eastAsia" w:ascii="黑体" w:hAnsi="黑体" w:eastAsia="黑体" w:cs="黑体"/>
          <w:b w:val="0"/>
          <w:bCs/>
          <w:color w:val="auto"/>
          <w:sz w:val="32"/>
          <w:szCs w:val="32"/>
          <w:highlight w:val="none"/>
        </w:rPr>
        <w:t>年度</w:t>
      </w:r>
      <w:r>
        <w:rPr>
          <w:rFonts w:hint="eastAsia" w:hAnsi="黑体" w:cs="黑体"/>
          <w:b w:val="0"/>
          <w:bCs/>
          <w:color w:val="auto"/>
          <w:sz w:val="32"/>
          <w:szCs w:val="32"/>
          <w:highlight w:val="none"/>
          <w:lang w:eastAsia="zh-CN"/>
        </w:rPr>
        <w:t>预算</w:t>
      </w:r>
      <w:r>
        <w:rPr>
          <w:rFonts w:hint="eastAsia" w:ascii="黑体" w:hAnsi="黑体" w:eastAsia="黑体" w:cs="黑体"/>
          <w:b w:val="0"/>
          <w:bCs/>
          <w:color w:val="auto"/>
          <w:sz w:val="32"/>
          <w:szCs w:val="32"/>
          <w:highlight w:val="none"/>
        </w:rPr>
        <w:t>绩效</w:t>
      </w:r>
      <w:r>
        <w:rPr>
          <w:rFonts w:hint="eastAsia" w:hAnsi="黑体" w:cs="黑体"/>
          <w:b w:val="0"/>
          <w:bCs/>
          <w:color w:val="auto"/>
          <w:sz w:val="32"/>
          <w:szCs w:val="32"/>
          <w:highlight w:val="none"/>
          <w:lang w:eastAsia="zh-CN"/>
        </w:rPr>
        <w:t>管理</w:t>
      </w:r>
      <w:r>
        <w:rPr>
          <w:rFonts w:hint="eastAsia" w:ascii="黑体" w:hAnsi="黑体" w:eastAsia="黑体" w:cs="黑体"/>
          <w:b w:val="0"/>
          <w:bCs/>
          <w:color w:val="auto"/>
          <w:sz w:val="32"/>
          <w:szCs w:val="32"/>
          <w:highlight w:val="none"/>
        </w:rPr>
        <w:t>情况的说明</w:t>
      </w:r>
    </w:p>
    <w:p>
      <w:pPr>
        <w:overflowPunct w:val="0"/>
        <w:spacing w:line="600" w:lineRule="exact"/>
        <w:ind w:firstLine="640" w:firstLineChars="200"/>
        <w:rPr>
          <w:rFonts w:ascii="Times New Roman" w:hAnsi="Times New Roman" w:eastAsia="楷体_GB2312" w:cs="Times New Roman"/>
          <w:b/>
          <w:bCs/>
          <w:sz w:val="32"/>
          <w:szCs w:val="32"/>
          <w:highlight w:val="none"/>
        </w:rPr>
      </w:pPr>
      <w:r>
        <w:rPr>
          <w:rFonts w:ascii="Times New Roman" w:hAnsi="Times New Roman" w:eastAsia="楷体_GB2312" w:cs="Times New Roman"/>
          <w:b/>
          <w:bCs/>
          <w:sz w:val="32"/>
          <w:szCs w:val="32"/>
          <w:highlight w:val="none"/>
        </w:rPr>
        <w:t>（一）绩效评价工作开展情况</w:t>
      </w:r>
    </w:p>
    <w:p>
      <w:pPr>
        <w:overflowPunct w:val="0"/>
        <w:spacing w:line="600" w:lineRule="exact"/>
        <w:ind w:firstLine="640" w:firstLineChars="200"/>
        <w:rPr>
          <w:rFonts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1.</w:t>
      </w:r>
      <w:r>
        <w:rPr>
          <w:rFonts w:hint="eastAsia" w:ascii="Times New Roman" w:hAnsi="Times New Roman" w:eastAsia="仿宋_GB2312" w:cs="Times New Roman"/>
          <w:b/>
          <w:bCs/>
          <w:kern w:val="0"/>
          <w:sz w:val="32"/>
          <w:szCs w:val="32"/>
          <w:highlight w:val="none"/>
          <w:lang w:val="en-US" w:eastAsia="zh-CN"/>
        </w:rPr>
        <w:t>绩</w:t>
      </w:r>
      <w:r>
        <w:rPr>
          <w:rFonts w:ascii="Times New Roman" w:hAnsi="Times New Roman" w:eastAsia="仿宋_GB2312" w:cs="Times New Roman"/>
          <w:b/>
          <w:bCs/>
          <w:kern w:val="0"/>
          <w:sz w:val="32"/>
          <w:szCs w:val="32"/>
          <w:highlight w:val="none"/>
        </w:rPr>
        <w:t>效自评开展情况。</w:t>
      </w:r>
      <w:r>
        <w:rPr>
          <w:rFonts w:ascii="Times New Roman" w:hAnsi="Times New Roman" w:eastAsia="仿宋_GB2312" w:cs="Times New Roman"/>
          <w:kern w:val="0"/>
          <w:sz w:val="32"/>
          <w:szCs w:val="32"/>
          <w:highlight w:val="none"/>
        </w:rPr>
        <w:t>组织对2024年度本部门（单位）整体支出开展绩效自评，涉及项目</w:t>
      </w:r>
      <w:r>
        <w:rPr>
          <w:rFonts w:hint="eastAsia" w:ascii="Times New Roman" w:hAnsi="Times New Roman" w:eastAsia="仿宋_GB2312" w:cs="Times New Roman"/>
          <w:kern w:val="0"/>
          <w:sz w:val="32"/>
          <w:szCs w:val="32"/>
          <w:highlight w:val="none"/>
          <w:lang w:val="en-US" w:eastAsia="zh-CN"/>
        </w:rPr>
        <w:t>3</w:t>
      </w:r>
      <w:r>
        <w:rPr>
          <w:rFonts w:ascii="Times New Roman" w:hAnsi="Times New Roman" w:eastAsia="仿宋_GB2312" w:cs="Times New Roman"/>
          <w:kern w:val="0"/>
          <w:sz w:val="32"/>
          <w:szCs w:val="32"/>
          <w:highlight w:val="none"/>
        </w:rPr>
        <w:t>个，共涉及资金</w:t>
      </w:r>
      <w:r>
        <w:rPr>
          <w:rFonts w:hint="eastAsia" w:ascii="Times New Roman" w:hAnsi="Times New Roman" w:eastAsia="仿宋_GB2312" w:cs="Times New Roman"/>
          <w:kern w:val="0"/>
          <w:sz w:val="32"/>
          <w:szCs w:val="32"/>
          <w:highlight w:val="none"/>
          <w:lang w:val="en-US" w:eastAsia="zh-CN"/>
        </w:rPr>
        <w:t>5366.55</w:t>
      </w:r>
      <w:r>
        <w:rPr>
          <w:rFonts w:ascii="Times New Roman" w:hAnsi="Times New Roman" w:eastAsia="仿宋_GB2312" w:cs="Times New Roman"/>
          <w:kern w:val="0"/>
          <w:sz w:val="32"/>
          <w:szCs w:val="32"/>
          <w:highlight w:val="none"/>
        </w:rPr>
        <w:t>万元。其中，一般公共预算项目</w:t>
      </w:r>
      <w:r>
        <w:rPr>
          <w:rFonts w:hint="eastAsia" w:ascii="Times New Roman" w:hAnsi="Times New Roman" w:eastAsia="仿宋_GB2312" w:cs="Times New Roman"/>
          <w:kern w:val="0"/>
          <w:sz w:val="32"/>
          <w:szCs w:val="32"/>
          <w:highlight w:val="none"/>
          <w:lang w:val="en-US" w:eastAsia="zh-CN"/>
        </w:rPr>
        <w:t>3</w:t>
      </w:r>
      <w:r>
        <w:rPr>
          <w:rFonts w:ascii="Times New Roman" w:hAnsi="Times New Roman" w:eastAsia="仿宋_GB2312" w:cs="Times New Roman"/>
          <w:kern w:val="0"/>
          <w:sz w:val="32"/>
          <w:szCs w:val="32"/>
          <w:highlight w:val="none"/>
        </w:rPr>
        <w:t>个</w:t>
      </w:r>
      <w:r>
        <w:rPr>
          <w:rFonts w:hint="eastAsia" w:ascii="Times New Roman" w:hAnsi="Times New Roman" w:eastAsia="仿宋_GB2312" w:cs="Times New Roman"/>
          <w:kern w:val="0"/>
          <w:sz w:val="32"/>
          <w:szCs w:val="32"/>
          <w:highlight w:val="none"/>
          <w:lang w:val="en-US" w:eastAsia="zh-CN"/>
        </w:rPr>
        <w:t>5366.55</w:t>
      </w:r>
      <w:r>
        <w:rPr>
          <w:rFonts w:ascii="Times New Roman" w:hAnsi="Times New Roman" w:eastAsia="仿宋_GB2312" w:cs="Times New Roman"/>
          <w:kern w:val="0"/>
          <w:sz w:val="32"/>
          <w:szCs w:val="32"/>
          <w:highlight w:val="none"/>
        </w:rPr>
        <w:t>万元，占一般公共预算支出总额的</w:t>
      </w:r>
      <w:r>
        <w:rPr>
          <w:rFonts w:hint="eastAsia" w:ascii="Times New Roman" w:hAnsi="Times New Roman" w:eastAsia="仿宋_GB2312" w:cs="Times New Roman"/>
          <w:kern w:val="0"/>
          <w:sz w:val="32"/>
          <w:szCs w:val="32"/>
          <w:highlight w:val="none"/>
          <w:lang w:val="en-US" w:eastAsia="zh-CN"/>
        </w:rPr>
        <w:t>22.58</w:t>
      </w:r>
      <w:r>
        <w:rPr>
          <w:rFonts w:ascii="Times New Roman" w:hAnsi="Times New Roman" w:eastAsia="仿宋_GB2312" w:cs="Times New Roman"/>
          <w:kern w:val="0"/>
          <w:sz w:val="32"/>
          <w:szCs w:val="32"/>
          <w:highlight w:val="none"/>
        </w:rPr>
        <w:t>%；政府性基金预算项目</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个</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万元，占政府性基金预算支出总额的</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%；国有资本经营预算项目</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个</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 xml:space="preserve"> 万元，占国有资本经营预算支出总额的</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%；社会保险基金预算项目</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个</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万元，占社会保险基金预算支出总额的</w:t>
      </w:r>
      <w:r>
        <w:rPr>
          <w:rFonts w:hint="eastAsia" w:ascii="Times New Roman" w:hAnsi="Times New Roman" w:eastAsia="仿宋_GB2312" w:cs="Times New Roman"/>
          <w:kern w:val="0"/>
          <w:sz w:val="32"/>
          <w:szCs w:val="32"/>
          <w:highlight w:val="none"/>
          <w:lang w:val="en-US" w:eastAsia="zh-CN"/>
        </w:rPr>
        <w:t>0</w:t>
      </w:r>
      <w:r>
        <w:rPr>
          <w:rFonts w:ascii="Times New Roman" w:hAnsi="Times New Roman" w:eastAsia="仿宋_GB2312" w:cs="Times New Roman"/>
          <w:kern w:val="0"/>
          <w:sz w:val="32"/>
          <w:szCs w:val="32"/>
          <w:highlight w:val="none"/>
        </w:rPr>
        <w:t>%。</w:t>
      </w:r>
    </w:p>
    <w:p>
      <w:pPr>
        <w:numPr>
          <w:ilvl w:val="0"/>
          <w:numId w:val="0"/>
        </w:numPr>
        <w:overflowPunct w:val="0"/>
        <w:spacing w:line="600" w:lineRule="exact"/>
        <w:ind w:firstLine="640" w:firstLineChars="200"/>
        <w:rPr>
          <w:rFonts w:hint="eastAsia"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b/>
          <w:bCs/>
          <w:kern w:val="0"/>
          <w:sz w:val="32"/>
          <w:szCs w:val="32"/>
          <w:highlight w:val="none"/>
          <w:lang w:val="en-US" w:eastAsia="zh-CN"/>
        </w:rPr>
        <w:t>2.部门评价开展情况。</w:t>
      </w:r>
      <w:r>
        <w:rPr>
          <w:rFonts w:hint="eastAsia" w:ascii="Times New Roman" w:hAnsi="Times New Roman" w:eastAsia="仿宋_GB2312" w:cs="Times New Roman"/>
          <w:kern w:val="0"/>
          <w:sz w:val="32"/>
          <w:szCs w:val="32"/>
          <w:highlight w:val="none"/>
          <w:lang w:val="en-US" w:eastAsia="zh-CN"/>
        </w:rPr>
        <w:t>本单位为二级预算单位，部门评价开展情况可详见上级部门决算公开说明。</w:t>
      </w:r>
    </w:p>
    <w:p>
      <w:pPr>
        <w:overflowPunct w:val="0"/>
        <w:spacing w:line="600" w:lineRule="exact"/>
        <w:ind w:firstLine="640" w:firstLineChars="200"/>
        <w:rPr>
          <w:rFonts w:hint="default" w:ascii="Times New Roman" w:hAnsi="Times New Roman" w:eastAsia="楷体" w:cs="Times New Roman"/>
          <w:b/>
          <w:bCs/>
          <w:sz w:val="32"/>
          <w:szCs w:val="32"/>
          <w:lang w:val="en-US"/>
        </w:rPr>
      </w:pPr>
      <w:r>
        <w:rPr>
          <w:rFonts w:hint="eastAsia" w:ascii="Times New Roman" w:hAnsi="Times New Roman" w:eastAsia="仿宋_GB2312" w:cs="Times New Roman"/>
          <w:kern w:val="0"/>
          <w:sz w:val="32"/>
          <w:szCs w:val="32"/>
          <w:lang w:val="en-US" w:eastAsia="zh-CN"/>
        </w:rPr>
        <w:t>3.</w:t>
      </w:r>
      <w:r>
        <w:rPr>
          <w:rFonts w:ascii="Times New Roman" w:hAnsi="Times New Roman" w:eastAsia="仿宋_GB2312" w:cs="Times New Roman"/>
          <w:b/>
          <w:bCs/>
          <w:kern w:val="0"/>
          <w:sz w:val="32"/>
          <w:szCs w:val="32"/>
        </w:rPr>
        <w:t>事前绩效评估开展情况。</w:t>
      </w:r>
      <w:r>
        <w:rPr>
          <w:rFonts w:hint="eastAsia" w:ascii="Times New Roman" w:hAnsi="Times New Roman" w:eastAsia="仿宋_GB2312" w:cs="Times New Roman"/>
          <w:kern w:val="0"/>
          <w:sz w:val="32"/>
          <w:szCs w:val="32"/>
          <w:highlight w:val="none"/>
          <w:lang w:val="en-US" w:eastAsia="zh-CN"/>
        </w:rPr>
        <w:t>本单位为二级预算单位，事前绩效评估开展情况可详见上级部门决算公开说明。</w:t>
      </w:r>
    </w:p>
    <w:p>
      <w:pPr>
        <w:overflowPunct w:val="0"/>
        <w:spacing w:line="600" w:lineRule="exact"/>
        <w:ind w:firstLine="640" w:firstLineChars="200"/>
        <w:rPr>
          <w:rFonts w:ascii="Times New Roman" w:hAnsi="Times New Roman" w:eastAsia="楷体_GB2312" w:cs="Times New Roman"/>
          <w:b/>
          <w:bCs/>
          <w:sz w:val="32"/>
          <w:szCs w:val="32"/>
        </w:rPr>
      </w:pPr>
      <w:r>
        <w:rPr>
          <w:rFonts w:ascii="Times New Roman" w:hAnsi="Times New Roman" w:eastAsia="楷体_GB2312" w:cs="Times New Roman"/>
          <w:b/>
          <w:bCs/>
          <w:sz w:val="32"/>
          <w:szCs w:val="32"/>
        </w:rPr>
        <w:t>（二）绩效评价结果</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val="en-US" w:eastAsia="zh-CN"/>
        </w:rPr>
        <w:t>1.</w:t>
      </w:r>
      <w:r>
        <w:rPr>
          <w:rFonts w:ascii="Times New Roman" w:hAnsi="Times New Roman" w:eastAsia="仿宋_GB2312" w:cs="Times New Roman"/>
          <w:b/>
          <w:bCs/>
          <w:kern w:val="0"/>
          <w:sz w:val="32"/>
          <w:szCs w:val="32"/>
          <w:highlight w:val="none"/>
        </w:rPr>
        <w:t>绩效自评结果。</w:t>
      </w:r>
      <w:r>
        <w:rPr>
          <w:rFonts w:ascii="Times New Roman" w:hAnsi="Times New Roman" w:eastAsia="仿宋_GB2312" w:cs="Times New Roman"/>
          <w:kern w:val="0"/>
          <w:sz w:val="32"/>
          <w:szCs w:val="32"/>
          <w:highlight w:val="none"/>
        </w:rPr>
        <w:t>2024年度本部门（单位）整体支出</w:t>
      </w:r>
      <w:r>
        <w:rPr>
          <w:rFonts w:ascii="Times New Roman" w:hAnsi="Times New Roman" w:eastAsia="仿宋_GB2312" w:cs="Times New Roman"/>
          <w:sz w:val="32"/>
          <w:szCs w:val="32"/>
          <w:highlight w:val="none"/>
        </w:rPr>
        <w:t>全年预算数</w:t>
      </w:r>
      <w:r>
        <w:rPr>
          <w:rFonts w:hint="eastAsia" w:ascii="Times New Roman" w:hAnsi="Times New Roman" w:eastAsia="仿宋_GB2312" w:cs="Times New Roman"/>
          <w:sz w:val="32"/>
          <w:szCs w:val="32"/>
          <w:highlight w:val="none"/>
          <w:lang w:val="en-US" w:eastAsia="zh-CN"/>
        </w:rPr>
        <w:t>24225.08</w:t>
      </w:r>
      <w:r>
        <w:rPr>
          <w:rFonts w:ascii="Times New Roman" w:hAnsi="Times New Roman" w:eastAsia="仿宋_GB2312" w:cs="Times New Roman"/>
          <w:sz w:val="32"/>
          <w:szCs w:val="32"/>
          <w:highlight w:val="none"/>
        </w:rPr>
        <w:t>万元，执行数</w:t>
      </w:r>
      <w:r>
        <w:rPr>
          <w:rFonts w:hint="eastAsia" w:ascii="Times New Roman" w:hAnsi="Times New Roman" w:eastAsia="仿宋_GB2312" w:cs="Times New Roman"/>
          <w:sz w:val="32"/>
          <w:szCs w:val="32"/>
          <w:highlight w:val="none"/>
          <w:lang w:val="en-US" w:eastAsia="zh-CN"/>
        </w:rPr>
        <w:t>23982.71</w:t>
      </w:r>
      <w:r>
        <w:rPr>
          <w:rFonts w:ascii="Times New Roman" w:hAnsi="Times New Roman" w:eastAsia="仿宋_GB2312" w:cs="Times New Roman"/>
          <w:sz w:val="32"/>
          <w:szCs w:val="32"/>
          <w:highlight w:val="none"/>
        </w:rPr>
        <w:t>万元，完成预算的</w:t>
      </w:r>
      <w:r>
        <w:rPr>
          <w:rFonts w:hint="eastAsia" w:ascii="Times New Roman" w:hAnsi="Times New Roman" w:eastAsia="仿宋_GB2312" w:cs="Times New Roman"/>
          <w:sz w:val="32"/>
          <w:szCs w:val="32"/>
          <w:highlight w:val="none"/>
          <w:lang w:val="en-US" w:eastAsia="zh-CN"/>
        </w:rPr>
        <w:t>99</w:t>
      </w:r>
      <w:r>
        <w:rPr>
          <w:rFonts w:ascii="Times New Roman" w:hAnsi="Times New Roman" w:eastAsia="仿宋_GB2312" w:cs="Times New Roman"/>
          <w:sz w:val="32"/>
          <w:szCs w:val="32"/>
          <w:highlight w:val="none"/>
        </w:rPr>
        <w:t>%</w:t>
      </w:r>
      <w:r>
        <w:rPr>
          <w:rFonts w:ascii="Times New Roman" w:hAnsi="Times New Roman" w:eastAsia="仿宋_GB2312" w:cs="Times New Roman"/>
          <w:kern w:val="0"/>
          <w:sz w:val="32"/>
          <w:szCs w:val="32"/>
          <w:highlight w:val="none"/>
        </w:rPr>
        <w:t>，绩效自评得分</w:t>
      </w:r>
      <w:r>
        <w:rPr>
          <w:rFonts w:hint="eastAsia" w:ascii="Times New Roman" w:hAnsi="Times New Roman" w:eastAsia="仿宋_GB2312" w:cs="Times New Roman"/>
          <w:kern w:val="0"/>
          <w:sz w:val="32"/>
          <w:szCs w:val="32"/>
          <w:highlight w:val="none"/>
          <w:lang w:val="en-US" w:eastAsia="zh-CN"/>
        </w:rPr>
        <w:t>9.9</w:t>
      </w:r>
      <w:r>
        <w:rPr>
          <w:rFonts w:ascii="Times New Roman" w:hAnsi="Times New Roman" w:eastAsia="仿宋_GB2312" w:cs="Times New Roman"/>
          <w:kern w:val="0"/>
          <w:sz w:val="32"/>
          <w:szCs w:val="32"/>
          <w:highlight w:val="none"/>
        </w:rPr>
        <w:t>分，评价等级为“</w:t>
      </w:r>
      <w:r>
        <w:rPr>
          <w:rFonts w:hint="eastAsia" w:ascii="Times New Roman" w:hAnsi="Times New Roman" w:eastAsia="仿宋_GB2312" w:cs="Times New Roman"/>
          <w:kern w:val="0"/>
          <w:sz w:val="32"/>
          <w:szCs w:val="32"/>
          <w:highlight w:val="none"/>
          <w:lang w:val="en-US" w:eastAsia="zh-CN"/>
        </w:rPr>
        <w:t>优</w:t>
      </w:r>
      <w:r>
        <w:rPr>
          <w:rFonts w:ascii="Times New Roman" w:hAnsi="Times New Roman" w:eastAsia="仿宋_GB2312" w:cs="Times New Roman"/>
          <w:kern w:val="0"/>
          <w:sz w:val="32"/>
          <w:szCs w:val="32"/>
          <w:highlight w:val="none"/>
        </w:rPr>
        <w:t>”。绩效目标完成情况：</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lang w:val="en-US" w:eastAsia="zh-CN"/>
        </w:rPr>
        <w:t>一）</w:t>
      </w:r>
      <w:r>
        <w:rPr>
          <w:rFonts w:hint="eastAsia" w:ascii="Times New Roman" w:hAnsi="Times New Roman" w:eastAsia="仿宋_GB2312" w:cs="Times New Roman"/>
          <w:kern w:val="0"/>
          <w:sz w:val="32"/>
          <w:szCs w:val="32"/>
          <w:highlight w:val="none"/>
        </w:rPr>
        <w:t>整治交通违法乱象有声势、有力度、有成效。一是高压严查重点违法</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二是高质规范通行秩序</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三是高标优化交通设施。（二）风险隐患排查治理全方位、全领域、全覆盖。一是盯住重点人</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二是严管重点车</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三是整改重点路</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四是联查重点企业。（三）</w:t>
      </w:r>
      <w:bookmarkStart w:id="0" w:name="OLE_LINK6"/>
      <w:r>
        <w:rPr>
          <w:rFonts w:hint="eastAsia" w:ascii="Times New Roman" w:hAnsi="Times New Roman" w:eastAsia="仿宋_GB2312" w:cs="Times New Roman"/>
          <w:kern w:val="0"/>
          <w:sz w:val="32"/>
          <w:szCs w:val="32"/>
          <w:highlight w:val="none"/>
        </w:rPr>
        <w:t>围绕中心服务大局不动摇、不合糊、不懈怠</w:t>
      </w:r>
      <w:bookmarkEnd w:id="0"/>
      <w:r>
        <w:rPr>
          <w:rFonts w:hint="eastAsia" w:ascii="Times New Roman" w:hAnsi="Times New Roman" w:eastAsia="仿宋_GB2312" w:cs="Times New Roman"/>
          <w:kern w:val="0"/>
          <w:sz w:val="32"/>
          <w:szCs w:val="32"/>
          <w:highlight w:val="none"/>
        </w:rPr>
        <w:t>。一是圆满完成</w:t>
      </w:r>
      <w:bookmarkStart w:id="1" w:name="OLE_LINK27"/>
      <w:r>
        <w:rPr>
          <w:rFonts w:hint="eastAsia" w:ascii="Times New Roman" w:hAnsi="Times New Roman" w:eastAsia="仿宋_GB2312" w:cs="Times New Roman"/>
          <w:kern w:val="0"/>
          <w:sz w:val="32"/>
          <w:szCs w:val="32"/>
          <w:highlight w:val="none"/>
        </w:rPr>
        <w:t>重大交通安保</w:t>
      </w:r>
      <w:bookmarkEnd w:id="1"/>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二是全力应对应急突发任务</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三是高效处理交通警情</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四是持续强化执法能力水平。（四）</w:t>
      </w:r>
      <w:bookmarkStart w:id="2" w:name="OLE_LINK22"/>
      <w:bookmarkStart w:id="3" w:name="OLE_LINK7"/>
      <w:r>
        <w:rPr>
          <w:rFonts w:hint="eastAsia" w:ascii="Times New Roman" w:hAnsi="Times New Roman" w:eastAsia="仿宋_GB2312" w:cs="Times New Roman"/>
          <w:kern w:val="0"/>
          <w:sz w:val="32"/>
          <w:szCs w:val="32"/>
          <w:highlight w:val="none"/>
        </w:rPr>
        <w:t>公安交管法制建设</w:t>
      </w:r>
      <w:bookmarkEnd w:id="2"/>
      <w:r>
        <w:rPr>
          <w:rFonts w:hint="eastAsia" w:ascii="Times New Roman" w:hAnsi="Times New Roman" w:eastAsia="仿宋_GB2312" w:cs="Times New Roman"/>
          <w:kern w:val="0"/>
          <w:sz w:val="32"/>
          <w:szCs w:val="32"/>
          <w:highlight w:val="none"/>
        </w:rPr>
        <w:t>更规范、更严格、更长效</w:t>
      </w:r>
      <w:bookmarkEnd w:id="3"/>
      <w:r>
        <w:rPr>
          <w:rFonts w:hint="eastAsia" w:ascii="Times New Roman" w:hAnsi="Times New Roman" w:eastAsia="仿宋_GB2312" w:cs="Times New Roman"/>
          <w:kern w:val="0"/>
          <w:sz w:val="32"/>
          <w:szCs w:val="32"/>
          <w:highlight w:val="none"/>
        </w:rPr>
        <w:t>。一是</w:t>
      </w:r>
      <w:bookmarkStart w:id="4" w:name="OLE_LINK23"/>
      <w:r>
        <w:rPr>
          <w:rFonts w:hint="eastAsia" w:ascii="Times New Roman" w:hAnsi="Times New Roman" w:eastAsia="仿宋_GB2312" w:cs="Times New Roman"/>
          <w:kern w:val="0"/>
          <w:sz w:val="32"/>
          <w:szCs w:val="32"/>
          <w:highlight w:val="none"/>
        </w:rPr>
        <w:t>执法突出问题全整改</w:t>
      </w:r>
      <w:bookmarkEnd w:id="4"/>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二是</w:t>
      </w:r>
      <w:bookmarkStart w:id="5" w:name="OLE_LINK24"/>
      <w:r>
        <w:rPr>
          <w:rFonts w:hint="eastAsia" w:ascii="Times New Roman" w:hAnsi="Times New Roman" w:eastAsia="仿宋_GB2312" w:cs="Times New Roman"/>
          <w:kern w:val="0"/>
          <w:sz w:val="32"/>
          <w:szCs w:val="32"/>
          <w:highlight w:val="none"/>
        </w:rPr>
        <w:t>事故认定复核零差错</w:t>
      </w:r>
      <w:bookmarkEnd w:id="5"/>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三是</w:t>
      </w:r>
      <w:bookmarkStart w:id="6" w:name="OLE_LINK25"/>
      <w:r>
        <w:rPr>
          <w:rFonts w:hint="eastAsia" w:ascii="Times New Roman" w:hAnsi="Times New Roman" w:eastAsia="仿宋_GB2312" w:cs="Times New Roman"/>
          <w:kern w:val="0"/>
          <w:sz w:val="32"/>
          <w:szCs w:val="32"/>
          <w:highlight w:val="none"/>
        </w:rPr>
        <w:t>队管酒管平台精细化</w:t>
      </w:r>
      <w:bookmarkEnd w:id="6"/>
      <w:r>
        <w:rPr>
          <w:rFonts w:hint="eastAsia" w:ascii="Times New Roman" w:hAnsi="Times New Roman" w:eastAsia="仿宋_GB2312" w:cs="Times New Roman"/>
          <w:kern w:val="0"/>
          <w:sz w:val="32"/>
          <w:szCs w:val="32"/>
          <w:highlight w:val="none"/>
        </w:rPr>
        <w:t>。（五）</w:t>
      </w:r>
      <w:bookmarkStart w:id="7" w:name="OLE_LINK13"/>
      <w:bookmarkStart w:id="8" w:name="OLE_LINK8"/>
      <w:r>
        <w:rPr>
          <w:rFonts w:hint="eastAsia" w:ascii="Times New Roman" w:hAnsi="Times New Roman" w:eastAsia="仿宋_GB2312" w:cs="Times New Roman"/>
          <w:kern w:val="0"/>
          <w:sz w:val="32"/>
          <w:szCs w:val="32"/>
          <w:highlight w:val="none"/>
        </w:rPr>
        <w:t>交通安全宣传</w:t>
      </w:r>
      <w:bookmarkEnd w:id="7"/>
      <w:r>
        <w:rPr>
          <w:rFonts w:hint="eastAsia" w:ascii="Times New Roman" w:hAnsi="Times New Roman" w:eastAsia="仿宋_GB2312" w:cs="Times New Roman"/>
          <w:kern w:val="0"/>
          <w:sz w:val="32"/>
          <w:szCs w:val="32"/>
          <w:highlight w:val="none"/>
        </w:rPr>
        <w:t>创建新阵地、新载体、新品牌</w:t>
      </w:r>
      <w:bookmarkEnd w:id="8"/>
      <w:r>
        <w:rPr>
          <w:rFonts w:hint="eastAsia" w:ascii="Times New Roman" w:hAnsi="Times New Roman" w:eastAsia="仿宋_GB2312" w:cs="Times New Roman"/>
          <w:kern w:val="0"/>
          <w:sz w:val="32"/>
          <w:szCs w:val="32"/>
          <w:highlight w:val="none"/>
        </w:rPr>
        <w:t>。一是铺天盖地广覆益</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二是精准宣传提影响</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三是警示提示降风险。（六）</w:t>
      </w:r>
      <w:bookmarkStart w:id="9" w:name="OLE_LINK9"/>
      <w:r>
        <w:rPr>
          <w:rFonts w:hint="eastAsia" w:ascii="Times New Roman" w:hAnsi="Times New Roman" w:eastAsia="仿宋_GB2312" w:cs="Times New Roman"/>
          <w:kern w:val="0"/>
          <w:sz w:val="32"/>
          <w:szCs w:val="32"/>
          <w:highlight w:val="none"/>
        </w:rPr>
        <w:t>回应群众急难愁盼可感知、可获得、可惠及</w:t>
      </w:r>
      <w:bookmarkEnd w:id="9"/>
      <w:r>
        <w:rPr>
          <w:rFonts w:hint="eastAsia" w:ascii="Times New Roman" w:hAnsi="Times New Roman" w:eastAsia="仿宋_GB2312" w:cs="Times New Roman"/>
          <w:kern w:val="0"/>
          <w:sz w:val="32"/>
          <w:szCs w:val="32"/>
          <w:highlight w:val="none"/>
        </w:rPr>
        <w:t>。一是推行摩托车办证送考</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二是完善事故快处及救助调解机制</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三是推进“放管服”改革</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四是启动派出所管交通。（七）</w:t>
      </w:r>
      <w:bookmarkStart w:id="10" w:name="OLE_LINK10"/>
      <w:r>
        <w:rPr>
          <w:rFonts w:hint="eastAsia" w:ascii="Times New Roman" w:hAnsi="Times New Roman" w:eastAsia="仿宋_GB2312" w:cs="Times New Roman"/>
          <w:kern w:val="0"/>
          <w:sz w:val="32"/>
          <w:szCs w:val="32"/>
          <w:highlight w:val="none"/>
        </w:rPr>
        <w:t>公安交警铁军锻造强党性、强纪律、强担当</w:t>
      </w:r>
      <w:bookmarkEnd w:id="10"/>
      <w:r>
        <w:rPr>
          <w:rFonts w:hint="eastAsia" w:ascii="Times New Roman" w:hAnsi="Times New Roman" w:eastAsia="仿宋_GB2312" w:cs="Times New Roman"/>
          <w:kern w:val="0"/>
          <w:sz w:val="32"/>
          <w:szCs w:val="32"/>
          <w:highlight w:val="none"/>
        </w:rPr>
        <w:t>。一是教育整训从严从实</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lang w:val="en-US" w:eastAsia="zh-CN"/>
        </w:rPr>
        <w:t>二</w:t>
      </w:r>
      <w:r>
        <w:rPr>
          <w:rFonts w:hint="eastAsia" w:ascii="Times New Roman" w:hAnsi="Times New Roman" w:eastAsia="仿宋_GB2312" w:cs="Times New Roman"/>
          <w:kern w:val="0"/>
          <w:sz w:val="32"/>
          <w:szCs w:val="32"/>
          <w:highlight w:val="none"/>
        </w:rPr>
        <w:t>是从严治警深查深改。</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发现的主要问题及原因：</w:t>
      </w:r>
      <w:r>
        <w:rPr>
          <w:rFonts w:hint="eastAsia" w:ascii="Times New Roman" w:hAnsi="Times New Roman" w:eastAsia="仿宋_GB2312" w:cs="Times New Roman"/>
          <w:kern w:val="0"/>
          <w:sz w:val="32"/>
          <w:szCs w:val="32"/>
          <w:highlight w:val="none"/>
          <w:lang w:val="en-US" w:eastAsia="zh-CN"/>
        </w:rPr>
        <w:t>一是</w:t>
      </w:r>
      <w:r>
        <w:rPr>
          <w:rFonts w:hint="eastAsia" w:ascii="Times New Roman" w:hAnsi="Times New Roman" w:eastAsia="仿宋_GB2312" w:cs="Times New Roman"/>
          <w:kern w:val="0"/>
          <w:sz w:val="32"/>
          <w:szCs w:val="32"/>
          <w:highlight w:val="none"/>
        </w:rPr>
        <w:t>各部门对绩效评价工作的重要性认识有待进一步提高</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lang w:val="en-US" w:eastAsia="zh-CN"/>
        </w:rPr>
        <w:t>二是</w:t>
      </w:r>
      <w:r>
        <w:rPr>
          <w:rFonts w:hint="eastAsia" w:ascii="Times New Roman" w:hAnsi="Times New Roman" w:eastAsia="仿宋_GB2312" w:cs="Times New Roman"/>
          <w:kern w:val="0"/>
          <w:sz w:val="32"/>
          <w:szCs w:val="32"/>
          <w:highlight w:val="none"/>
        </w:rPr>
        <w:t>完善项目管理制度，保证财政资金的合理使用。合理压减支出，提升资金的使用效益。</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ascii="Times New Roman" w:hAnsi="Times New Roman" w:eastAsia="仿宋_GB2312" w:cs="Times New Roman"/>
          <w:kern w:val="0"/>
          <w:sz w:val="32"/>
          <w:szCs w:val="32"/>
          <w:highlight w:val="none"/>
        </w:rPr>
      </w:pPr>
      <w:r>
        <w:rPr>
          <w:rFonts w:ascii="Times New Roman" w:hAnsi="Times New Roman" w:eastAsia="仿宋_GB2312" w:cs="Times New Roman"/>
          <w:kern w:val="0"/>
          <w:sz w:val="32"/>
          <w:szCs w:val="32"/>
          <w:highlight w:val="none"/>
        </w:rPr>
        <w:t>下一步改进措施：</w:t>
      </w:r>
      <w:r>
        <w:rPr>
          <w:rFonts w:hint="eastAsia" w:ascii="Times New Roman" w:hAnsi="Times New Roman" w:eastAsia="仿宋_GB2312" w:cs="Times New Roman"/>
          <w:kern w:val="0"/>
          <w:sz w:val="32"/>
          <w:szCs w:val="32"/>
          <w:highlight w:val="none"/>
          <w:lang w:val="en-US" w:eastAsia="zh-CN"/>
        </w:rPr>
        <w:t>一是</w:t>
      </w:r>
      <w:r>
        <w:rPr>
          <w:rFonts w:ascii="Times New Roman" w:hAnsi="Times New Roman" w:eastAsia="仿宋_GB2312" w:cs="Times New Roman"/>
          <w:kern w:val="0"/>
          <w:sz w:val="32"/>
          <w:szCs w:val="32"/>
          <w:highlight w:val="none"/>
        </w:rPr>
        <w:t>严格项目资金财务管理制度。按照项目管理制度及财务管理制度实施，加强项目管理和</w:t>
      </w:r>
      <w:r>
        <w:rPr>
          <w:rFonts w:hint="eastAsia" w:ascii="Times New Roman" w:hAnsi="Times New Roman" w:eastAsia="仿宋_GB2312" w:cs="Times New Roman"/>
          <w:kern w:val="0"/>
          <w:sz w:val="32"/>
          <w:szCs w:val="32"/>
          <w:highlight w:val="none"/>
        </w:rPr>
        <w:t>监</w:t>
      </w:r>
      <w:r>
        <w:rPr>
          <w:rFonts w:ascii="Times New Roman" w:hAnsi="Times New Roman" w:eastAsia="仿宋_GB2312" w:cs="Times New Roman"/>
          <w:kern w:val="0"/>
          <w:sz w:val="32"/>
          <w:szCs w:val="32"/>
          <w:highlight w:val="none"/>
        </w:rPr>
        <w:t>督</w:t>
      </w:r>
      <w:r>
        <w:rPr>
          <w:rFonts w:hint="eastAsia" w:ascii="Times New Roman" w:hAnsi="Times New Roman" w:eastAsia="仿宋_GB2312" w:cs="Times New Roman"/>
          <w:kern w:val="0"/>
          <w:sz w:val="32"/>
          <w:szCs w:val="32"/>
          <w:highlight w:val="none"/>
        </w:rPr>
        <w:t>，</w:t>
      </w:r>
      <w:r>
        <w:rPr>
          <w:rFonts w:ascii="Times New Roman" w:hAnsi="Times New Roman" w:eastAsia="仿宋_GB2312" w:cs="Times New Roman"/>
          <w:kern w:val="0"/>
          <w:sz w:val="32"/>
          <w:szCs w:val="32"/>
          <w:highlight w:val="none"/>
        </w:rPr>
        <w:t>确保项目实施规范</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lang w:val="en-US" w:eastAsia="zh-CN"/>
        </w:rPr>
        <w:t>二是</w:t>
      </w:r>
      <w:r>
        <w:rPr>
          <w:rFonts w:hint="eastAsia" w:ascii="Times New Roman" w:hAnsi="Times New Roman" w:eastAsia="仿宋_GB2312" w:cs="Times New Roman"/>
          <w:kern w:val="0"/>
          <w:sz w:val="32"/>
          <w:szCs w:val="32"/>
          <w:highlight w:val="none"/>
        </w:rPr>
        <w:t>细化预算编制，进一步加强单位内部机构的预算管理意识，提高预算编制的科学性、严谨性、可控性。</w:t>
      </w:r>
    </w:p>
    <w:p>
      <w:pPr>
        <w:overflowPunct w:val="0"/>
        <w:spacing w:line="60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kern w:val="0"/>
          <w:sz w:val="32"/>
          <w:szCs w:val="32"/>
          <w:lang w:val="en-US" w:eastAsia="zh-CN"/>
        </w:rPr>
        <w:t>2.</w:t>
      </w:r>
      <w:r>
        <w:rPr>
          <w:rFonts w:ascii="Times New Roman" w:hAnsi="Times New Roman" w:eastAsia="仿宋_GB2312" w:cs="Times New Roman"/>
          <w:b/>
          <w:bCs/>
          <w:kern w:val="0"/>
          <w:sz w:val="32"/>
          <w:szCs w:val="32"/>
        </w:rPr>
        <w:t>部门评价结果。</w:t>
      </w:r>
      <w:r>
        <w:rPr>
          <w:rFonts w:hint="eastAsia" w:ascii="Times New Roman" w:hAnsi="Times New Roman" w:eastAsia="仿宋_GB2312" w:cs="Times New Roman"/>
          <w:sz w:val="32"/>
          <w:szCs w:val="32"/>
          <w:lang w:val="en-US" w:eastAsia="zh-CN"/>
        </w:rPr>
        <w:t>本单位为二级预算单位，部门评价结果可详见上级部门决算公开说明。</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kern w:val="0"/>
          <w:sz w:val="32"/>
          <w:szCs w:val="32"/>
          <w:lang w:val="en-US" w:eastAsia="zh-CN"/>
        </w:rPr>
        <w:t>3.</w:t>
      </w:r>
      <w:r>
        <w:rPr>
          <w:rFonts w:hint="eastAsia" w:ascii="Times New Roman" w:hAnsi="Times New Roman" w:eastAsia="仿宋_GB2312" w:cs="Times New Roman"/>
          <w:b/>
          <w:bCs/>
          <w:kern w:val="0"/>
          <w:sz w:val="32"/>
          <w:szCs w:val="32"/>
          <w:highlight w:val="none"/>
          <w:lang w:val="en-US" w:eastAsia="zh-CN"/>
        </w:rPr>
        <w:t>事</w:t>
      </w:r>
      <w:r>
        <w:rPr>
          <w:rFonts w:ascii="Times New Roman" w:hAnsi="Times New Roman" w:eastAsia="仿宋_GB2312" w:cs="Times New Roman"/>
          <w:b/>
          <w:bCs/>
          <w:kern w:val="0"/>
          <w:sz w:val="32"/>
          <w:szCs w:val="32"/>
          <w:highlight w:val="none"/>
        </w:rPr>
        <w:t>前绩效评估结果</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本单位为二级预算单位，事前绩效评估结果可详见上级部门决算公开说明。</w:t>
      </w:r>
    </w:p>
    <w:p>
      <w:pPr>
        <w:numPr>
          <w:ilvl w:val="0"/>
          <w:numId w:val="0"/>
        </w:numPr>
        <w:autoSpaceDE w:val="0"/>
        <w:autoSpaceDN w:val="0"/>
        <w:adjustRightInd w:val="0"/>
        <w:ind w:firstLine="640" w:firstLineChars="200"/>
        <w:jc w:val="left"/>
        <w:rPr>
          <w:rFonts w:ascii="Times New Roman" w:hAnsi="Times New Roman" w:eastAsia="楷体_GB2312" w:cs="Times New Roman"/>
          <w:b/>
          <w:bCs/>
          <w:color w:val="auto"/>
          <w:kern w:val="2"/>
          <w:sz w:val="32"/>
          <w:szCs w:val="32"/>
          <w:highlight w:val="none"/>
        </w:rPr>
      </w:pPr>
      <w:r>
        <w:rPr>
          <w:rFonts w:hint="eastAsia" w:ascii="Times New Roman" w:hAnsi="Times New Roman" w:eastAsia="楷体_GB2312" w:cs="Times New Roman"/>
          <w:b/>
          <w:bCs/>
          <w:color w:val="auto"/>
          <w:kern w:val="2"/>
          <w:sz w:val="32"/>
          <w:szCs w:val="32"/>
          <w:highlight w:val="none"/>
          <w:lang w:eastAsia="zh-CN"/>
        </w:rPr>
        <w:t>（</w:t>
      </w:r>
      <w:r>
        <w:rPr>
          <w:rFonts w:hint="eastAsia" w:ascii="Times New Roman" w:hAnsi="Times New Roman" w:eastAsia="楷体_GB2312" w:cs="Times New Roman"/>
          <w:b/>
          <w:bCs/>
          <w:color w:val="auto"/>
          <w:kern w:val="2"/>
          <w:sz w:val="32"/>
          <w:szCs w:val="32"/>
          <w:highlight w:val="none"/>
          <w:lang w:val="en-US" w:eastAsia="zh-CN"/>
        </w:rPr>
        <w:t>三）</w:t>
      </w:r>
      <w:r>
        <w:rPr>
          <w:rFonts w:ascii="Times New Roman" w:hAnsi="Times New Roman" w:eastAsia="楷体_GB2312" w:cs="Times New Roman"/>
          <w:b/>
          <w:bCs/>
          <w:color w:val="auto"/>
          <w:kern w:val="2"/>
          <w:sz w:val="32"/>
          <w:szCs w:val="32"/>
          <w:highlight w:val="none"/>
        </w:rPr>
        <w:t>评价结果应用情况</w:t>
      </w:r>
    </w:p>
    <w:p>
      <w:pPr>
        <w:numPr>
          <w:ilvl w:val="0"/>
          <w:numId w:val="0"/>
        </w:numPr>
        <w:autoSpaceDE w:val="0"/>
        <w:autoSpaceDN w:val="0"/>
        <w:adjustRightInd w:val="0"/>
        <w:ind w:firstLine="640" w:firstLineChars="200"/>
        <w:jc w:val="left"/>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color w:val="auto"/>
          <w:sz w:val="32"/>
          <w:szCs w:val="32"/>
          <w:highlight w:val="none"/>
        </w:rPr>
        <w:t>根据2024年度绩效自评、部门评价及事前绩效评价结果，现就本部门2025年度预算安排、支出结构、资金管理及制度建设等方面的结果运用说明如下：</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一、预算安排</w:t>
      </w: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rPr>
        <w:t>与绩效等级精准挂钩</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kern w:val="0"/>
          <w:sz w:val="32"/>
          <w:szCs w:val="32"/>
          <w:highlight w:val="none"/>
          <w:lang w:eastAsia="zh-CN"/>
        </w:rPr>
      </w:pPr>
      <w:r>
        <w:rPr>
          <w:rFonts w:hint="eastAsia" w:ascii="Times New Roman" w:hAnsi="Times New Roman" w:eastAsia="仿宋_GB2312" w:cs="Times New Roman"/>
          <w:kern w:val="0"/>
          <w:sz w:val="32"/>
          <w:szCs w:val="32"/>
          <w:highlight w:val="none"/>
        </w:rPr>
        <w:t>对2024年度绩效评价结果为“优”（90分及以上）的</w:t>
      </w:r>
      <w:r>
        <w:rPr>
          <w:rFonts w:hint="eastAsia" w:ascii="Times New Roman" w:hAnsi="Times New Roman" w:eastAsia="仿宋_GB2312" w:cs="Times New Roman"/>
          <w:kern w:val="0"/>
          <w:sz w:val="32"/>
          <w:szCs w:val="32"/>
          <w:highlight w:val="none"/>
          <w:lang w:val="en-US" w:eastAsia="zh-CN"/>
        </w:rPr>
        <w:t>偿还智能交通建设</w:t>
      </w:r>
      <w:r>
        <w:rPr>
          <w:rFonts w:hint="eastAsia" w:ascii="Times New Roman" w:hAnsi="Times New Roman" w:eastAsia="仿宋_GB2312" w:cs="Times New Roman"/>
          <w:kern w:val="0"/>
          <w:sz w:val="32"/>
          <w:szCs w:val="32"/>
          <w:highlight w:val="none"/>
        </w:rPr>
        <w:t>、非税收入征收成本等项目，2025年预算予以优先安排，并结合业务增长需求适度增加额度</w:t>
      </w:r>
      <w:r>
        <w:rPr>
          <w:rFonts w:hint="eastAsia" w:ascii="Times New Roman" w:hAnsi="Times New Roman" w:eastAsia="仿宋_GB2312" w:cs="Times New Roman"/>
          <w:kern w:val="0"/>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二、支出结构：聚焦核心需求优化配置</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kern w:val="0"/>
          <w:sz w:val="32"/>
          <w:szCs w:val="32"/>
          <w:highlight w:val="none"/>
          <w:lang w:val="en-US" w:eastAsia="zh-CN"/>
        </w:rPr>
      </w:pP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lang w:val="en-US" w:eastAsia="zh-CN"/>
        </w:rPr>
        <w:t>一）</w:t>
      </w:r>
      <w:r>
        <w:rPr>
          <w:rFonts w:hint="eastAsia" w:ascii="Times New Roman" w:hAnsi="Times New Roman" w:eastAsia="仿宋_GB2312" w:cs="Times New Roman"/>
          <w:kern w:val="0"/>
          <w:sz w:val="32"/>
          <w:szCs w:val="32"/>
          <w:highlight w:val="none"/>
        </w:rPr>
        <w:t>强化重点领域投入：提高产出指标关联度高的支出占比</w:t>
      </w:r>
      <w:r>
        <w:rPr>
          <w:rFonts w:hint="eastAsia" w:ascii="Times New Roman" w:hAnsi="Times New Roman" w:eastAsia="仿宋_GB2312" w:cs="Times New Roman"/>
          <w:kern w:val="0"/>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kern w:val="0"/>
          <w:sz w:val="32"/>
          <w:szCs w:val="32"/>
          <w:highlight w:val="none"/>
          <w:lang w:eastAsia="zh-CN"/>
        </w:rPr>
      </w:pP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lang w:val="en-US" w:eastAsia="zh-CN"/>
        </w:rPr>
        <w:t>二）</w:t>
      </w:r>
      <w:r>
        <w:rPr>
          <w:rFonts w:hint="eastAsia" w:ascii="Times New Roman" w:hAnsi="Times New Roman" w:eastAsia="仿宋_GB2312" w:cs="Times New Roman"/>
          <w:kern w:val="0"/>
          <w:sz w:val="32"/>
          <w:szCs w:val="32"/>
          <w:highlight w:val="none"/>
        </w:rPr>
        <w:t>压减低效支出：</w:t>
      </w:r>
      <w:r>
        <w:rPr>
          <w:rFonts w:hint="eastAsia" w:ascii="Times New Roman" w:hAnsi="Times New Roman" w:eastAsia="仿宋_GB2312" w:cs="Times New Roman"/>
          <w:kern w:val="0"/>
          <w:sz w:val="32"/>
          <w:szCs w:val="32"/>
          <w:highlight w:val="none"/>
          <w:lang w:val="en-US" w:eastAsia="zh-CN"/>
        </w:rPr>
        <w:t>减少</w:t>
      </w:r>
      <w:r>
        <w:rPr>
          <w:rFonts w:hint="eastAsia" w:ascii="Times New Roman" w:hAnsi="Times New Roman" w:eastAsia="仿宋_GB2312" w:cs="Times New Roman"/>
          <w:kern w:val="0"/>
          <w:sz w:val="32"/>
          <w:szCs w:val="32"/>
          <w:highlight w:val="none"/>
        </w:rPr>
        <w:t>非必要差旅等效益不明显的支出</w:t>
      </w:r>
      <w:r>
        <w:rPr>
          <w:rFonts w:hint="eastAsia" w:ascii="Times New Roman" w:hAnsi="Times New Roman" w:eastAsia="仿宋_GB2312" w:cs="Times New Roman"/>
          <w:kern w:val="0"/>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三、资金管理：强化全流程绩效约束</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lang w:val="en-US" w:eastAsia="zh-CN"/>
        </w:rPr>
        <w:t>一）</w:t>
      </w:r>
      <w:r>
        <w:rPr>
          <w:rFonts w:hint="eastAsia" w:ascii="Times New Roman" w:hAnsi="Times New Roman" w:eastAsia="仿宋_GB2312" w:cs="Times New Roman"/>
          <w:kern w:val="0"/>
          <w:sz w:val="32"/>
          <w:szCs w:val="32"/>
          <w:highlight w:val="none"/>
        </w:rPr>
        <w:t>严控预算执行进度：对执行率的项目及时分析偏差原因并调整拨付计划，确保2025年整体预算执行率不低于90%。</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lang w:val="en-US" w:eastAsia="zh-CN"/>
        </w:rPr>
        <w:t>二）</w:t>
      </w:r>
      <w:r>
        <w:rPr>
          <w:rFonts w:hint="eastAsia" w:ascii="Times New Roman" w:hAnsi="Times New Roman" w:eastAsia="仿宋_GB2312" w:cs="Times New Roman"/>
          <w:kern w:val="0"/>
          <w:sz w:val="32"/>
          <w:szCs w:val="32"/>
          <w:highlight w:val="none"/>
        </w:rPr>
        <w:t>规范资金使用流程：细化重点支出的报销标准，确保资金使用与绩效目标匹配。</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rPr>
        <w:t>四、制度建设：健全长效管理体系</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kern w:val="0"/>
          <w:sz w:val="32"/>
          <w:szCs w:val="32"/>
          <w:highlight w:val="none"/>
        </w:rPr>
      </w:pP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lang w:val="en-US" w:eastAsia="zh-CN"/>
        </w:rPr>
        <w:t>一）</w:t>
      </w:r>
      <w:r>
        <w:rPr>
          <w:rFonts w:hint="eastAsia" w:ascii="Times New Roman" w:hAnsi="Times New Roman" w:eastAsia="仿宋_GB2312" w:cs="Times New Roman"/>
          <w:kern w:val="0"/>
          <w:sz w:val="32"/>
          <w:szCs w:val="32"/>
          <w:highlight w:val="none"/>
        </w:rPr>
        <w:t>完善绩效目标管理：优化2025年项目绩效指标设置，细化核心指标的量化标准。</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left"/>
        <w:textAlignment w:val="auto"/>
        <w:rPr>
          <w:rFonts w:hint="eastAsia" w:ascii="Times New Roman" w:hAnsi="Times New Roman" w:eastAsia="仿宋_GB2312" w:cs="Times New Roman"/>
          <w:color w:val="auto"/>
          <w:sz w:val="32"/>
          <w:szCs w:val="32"/>
          <w:highlight w:val="none"/>
        </w:rPr>
      </w:pPr>
      <w:r>
        <w:rPr>
          <w:rFonts w:hint="eastAsia" w:ascii="Times New Roman" w:hAnsi="Times New Roman" w:eastAsia="仿宋_GB2312" w:cs="Times New Roman"/>
          <w:kern w:val="0"/>
          <w:sz w:val="32"/>
          <w:szCs w:val="32"/>
          <w:highlight w:val="none"/>
          <w:lang w:eastAsia="zh-CN"/>
        </w:rPr>
        <w:t>（</w:t>
      </w:r>
      <w:r>
        <w:rPr>
          <w:rFonts w:hint="eastAsia" w:ascii="Times New Roman" w:hAnsi="Times New Roman" w:eastAsia="仿宋_GB2312" w:cs="Times New Roman"/>
          <w:kern w:val="0"/>
          <w:sz w:val="32"/>
          <w:szCs w:val="32"/>
          <w:highlight w:val="none"/>
          <w:lang w:val="en-US" w:eastAsia="zh-CN"/>
        </w:rPr>
        <w:t>二）</w:t>
      </w:r>
      <w:r>
        <w:rPr>
          <w:rFonts w:hint="eastAsia" w:ascii="Times New Roman" w:hAnsi="Times New Roman" w:eastAsia="仿宋_GB2312" w:cs="Times New Roman"/>
          <w:kern w:val="0"/>
          <w:sz w:val="32"/>
          <w:szCs w:val="32"/>
          <w:highlight w:val="none"/>
        </w:rPr>
        <w:t>强化公开监督：按规定将2024年度绩效评价结果、2025年绩效目标与部门预算同步公开，接受社会监督，提升资金使用透明度。</w:t>
      </w:r>
    </w:p>
    <w:p>
      <w:pPr>
        <w:pStyle w:val="2"/>
      </w:pPr>
    </w:p>
    <w:p>
      <w:pPr>
        <w:autoSpaceDE w:val="0"/>
        <w:autoSpaceDN w:val="0"/>
        <w:adjustRightInd w:val="0"/>
        <w:ind w:firstLine="640" w:firstLineChars="200"/>
        <w:jc w:val="left"/>
        <w:rPr>
          <w:rFonts w:hint="eastAsia" w:ascii="方正小标宋_GBK" w:hAnsi="方正小标宋_GBK" w:eastAsia="方正小标宋_GBK" w:cs="方正小标宋_GBK"/>
          <w:sz w:val="24"/>
          <w:szCs w:val="24"/>
        </w:rPr>
      </w:pPr>
      <w:r>
        <w:rPr>
          <w:rFonts w:hint="eastAsia" w:ascii="仿宋_GB2312" w:hAnsi="仿宋_GB2312" w:eastAsia="仿宋_GB2312" w:cs="仿宋_GB2312"/>
          <w:b w:val="0"/>
          <w:bCs w:val="0"/>
          <w:sz w:val="32"/>
          <w:szCs w:val="32"/>
          <w:lang w:val="en-US" w:eastAsia="zh-CN"/>
        </w:rPr>
        <w:t>预算绩效管理开展情况、绩效目标和绩效评价报告等，已在市政府部门财政预决算公开平台上向社会公开，详见附件。</w:t>
      </w: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第四部分</w:t>
      </w:r>
    </w:p>
    <w:p>
      <w:pPr>
        <w:jc w:val="center"/>
        <w:rPr>
          <w:rFonts w:hint="eastAsia" w:ascii="方正小标宋_GBK" w:hAnsi="方正小标宋_GBK" w:eastAsia="方正小标宋_GBK" w:cs="方正小标宋_GBK"/>
          <w:color w:val="000000"/>
          <w:kern w:val="0"/>
          <w:sz w:val="70"/>
          <w:szCs w:val="70"/>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color w:val="000000"/>
          <w:kern w:val="0"/>
          <w:sz w:val="70"/>
          <w:szCs w:val="70"/>
        </w:rPr>
        <w:t>名词解释</w:t>
      </w:r>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p>
    <w:p>
      <w:pPr>
        <w:pStyle w:val="2"/>
        <w:rPr>
          <w:rFonts w:hint="eastAsia"/>
        </w:rPr>
      </w:pPr>
    </w:p>
    <w:p>
      <w:pPr>
        <w:ind w:firstLine="640" w:firstLineChars="200"/>
        <w:jc w:val="left"/>
        <w:rPr>
          <w:rFonts w:hint="eastAsia" w:ascii="仿宋_GB2312" w:hAnsi="仿宋_GB2312" w:eastAsia="仿宋_GB2312" w:cs="仿宋_GB2312"/>
          <w:color w:val="000000"/>
          <w:kern w:val="0"/>
          <w:sz w:val="32"/>
          <w:szCs w:val="32"/>
        </w:rPr>
      </w:pP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一、“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二、机关运行经费</w:t>
      </w:r>
      <w:r>
        <w:rPr>
          <w:rFonts w:hint="eastAsia" w:ascii="仿宋_GB2312" w:hAnsi="仿宋_GB2312" w:eastAsia="仿宋_GB2312" w:cs="仿宋_GB2312"/>
          <w:color w:val="000000"/>
          <w:kern w:val="0"/>
          <w:sz w:val="32"/>
          <w:szCs w:val="32"/>
          <w:lang w:eastAsia="zh-CN"/>
        </w:rPr>
        <w:t>，指为保障行政单位（包括参照公务员法管理的事业单位）运行用于购买货物和服务的各项资金</w:t>
      </w:r>
      <w:r>
        <w:rPr>
          <w:rFonts w:hint="eastAsia" w:ascii="仿宋_GB2312" w:hAnsi="仿宋_GB2312" w:eastAsia="仿宋_GB2312" w:cs="仿宋_GB2312"/>
          <w:color w:val="000000"/>
          <w:kern w:val="0"/>
          <w:sz w:val="32"/>
          <w:szCs w:val="32"/>
        </w:rPr>
        <w:t>，包括办公</w:t>
      </w:r>
      <w:r>
        <w:rPr>
          <w:rFonts w:hint="eastAsia" w:ascii="仿宋_GB2312" w:hAnsi="仿宋_GB2312" w:eastAsia="仿宋_GB2312" w:cs="仿宋_GB2312"/>
          <w:color w:val="000000"/>
          <w:kern w:val="0"/>
          <w:sz w:val="32"/>
          <w:szCs w:val="32"/>
          <w:lang w:eastAsia="zh-CN"/>
        </w:rPr>
        <w:t>费、</w:t>
      </w:r>
      <w:r>
        <w:rPr>
          <w:rFonts w:hint="eastAsia" w:ascii="仿宋_GB2312" w:hAnsi="仿宋_GB2312" w:eastAsia="仿宋_GB2312" w:cs="仿宋_GB2312"/>
          <w:color w:val="000000"/>
          <w:kern w:val="0"/>
          <w:sz w:val="32"/>
          <w:szCs w:val="32"/>
        </w:rPr>
        <w:t>印刷费、邮电费、差旅费、会议费、日常维修费、专用材料及一般设备购置费、办公用房水电费、办公用房取暖费、办公用房物业管理费、公务用车运行维护费以及其他费用。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b/>
          <w:bCs/>
          <w:i/>
          <w:color w:val="FF0000"/>
          <w:kern w:val="0"/>
          <w:sz w:val="32"/>
          <w:szCs w:val="32"/>
          <w:lang w:val="en-US" w:eastAsia="zh-CN" w:bidi="ar-SA"/>
        </w:rPr>
      </w:pPr>
    </w:p>
    <w:p>
      <w:pPr>
        <w:pStyle w:val="12"/>
        <w:jc w:val="both"/>
        <w:rPr>
          <w:rFonts w:hint="eastAsia" w:ascii="仿宋_GB2312" w:hAnsi="仿宋_GB2312" w:eastAsia="仿宋_GB2312" w:cs="仿宋_GB2312"/>
          <w:sz w:val="32"/>
          <w:szCs w:val="32"/>
        </w:rPr>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Pr>
        <w:pStyle w:val="2"/>
      </w:pPr>
    </w:p>
    <w:p>
      <w:pPr>
        <w:pStyle w:val="3"/>
      </w:pPr>
    </w:p>
    <w:p/>
    <w:p/>
    <w:p>
      <w:pPr>
        <w:pStyle w:val="2"/>
      </w:pPr>
    </w:p>
    <w:p>
      <w:pPr>
        <w:pStyle w:val="12"/>
        <w:jc w:val="both"/>
        <w:rPr>
          <w:rFonts w:hint="eastAsia" w:ascii="方正小标宋_GBK" w:hAnsi="方正小标宋_GBK" w:eastAsia="方正小标宋_GBK" w:cs="方正小标宋_GBK"/>
          <w:sz w:val="72"/>
          <w:szCs w:val="72"/>
        </w:rPr>
      </w:pPr>
    </w:p>
    <w:p>
      <w:pPr>
        <w:pStyle w:val="12"/>
        <w:jc w:val="center"/>
        <w:rPr>
          <w:rFonts w:hint="eastAsia" w:ascii="方正小标宋_GBK" w:hAnsi="方正小标宋_GBK" w:eastAsia="方正小标宋_GBK" w:cs="方正小标宋_GBK"/>
          <w:sz w:val="70"/>
          <w:szCs w:val="70"/>
        </w:rPr>
      </w:pPr>
      <w:r>
        <w:rPr>
          <w:rFonts w:hint="eastAsia" w:ascii="方正小标宋_GBK" w:hAnsi="方正小标宋_GBK" w:eastAsia="方正小标宋_GBK" w:cs="方正小标宋_GBK"/>
          <w:sz w:val="72"/>
          <w:szCs w:val="72"/>
        </w:rPr>
        <w:t>第</w:t>
      </w:r>
      <w:r>
        <w:rPr>
          <w:rFonts w:hint="eastAsia" w:ascii="方正小标宋_GBK" w:hAnsi="方正小标宋_GBK" w:eastAsia="方正小标宋_GBK" w:cs="方正小标宋_GBK"/>
          <w:sz w:val="72"/>
          <w:szCs w:val="72"/>
          <w:lang w:eastAsia="zh-CN"/>
        </w:rPr>
        <w:t>五</w:t>
      </w:r>
      <w:r>
        <w:rPr>
          <w:rFonts w:hint="eastAsia" w:ascii="方正小标宋_GBK" w:hAnsi="方正小标宋_GBK" w:eastAsia="方正小标宋_GBK" w:cs="方正小标宋_GBK"/>
          <w:sz w:val="72"/>
          <w:szCs w:val="72"/>
        </w:rPr>
        <w:t>部分</w:t>
      </w:r>
    </w:p>
    <w:p>
      <w:pPr>
        <w:pStyle w:val="12"/>
        <w:jc w:val="both"/>
        <w:rPr>
          <w:rFonts w:hint="eastAsia" w:ascii="方正小标宋_GBK" w:hAnsi="方正小标宋_GBK" w:eastAsia="方正小标宋_GBK" w:cs="方正小标宋_GBK"/>
          <w:sz w:val="70"/>
          <w:szCs w:val="70"/>
          <w:lang w:eastAsia="zh-CN"/>
        </w:rPr>
      </w:pPr>
    </w:p>
    <w:p>
      <w:pPr>
        <w:pStyle w:val="12"/>
        <w:jc w:val="center"/>
        <w:rPr>
          <w:rFonts w:hint="eastAsia" w:ascii="方正小标宋_GBK" w:hAnsi="方正小标宋_GBK" w:eastAsia="方正小标宋_GBK" w:cs="方正小标宋_GBK"/>
          <w:sz w:val="70"/>
          <w:szCs w:val="70"/>
          <w:lang w:eastAsia="zh-CN"/>
        </w:rPr>
      </w:pPr>
      <w:r>
        <w:rPr>
          <w:rFonts w:hint="eastAsia" w:ascii="方正小标宋_GBK" w:hAnsi="方正小标宋_GBK" w:eastAsia="方正小标宋_GBK" w:cs="方正小标宋_GBK"/>
          <w:sz w:val="70"/>
          <w:szCs w:val="70"/>
          <w:lang w:eastAsia="zh-CN"/>
        </w:rPr>
        <w:t>附</w:t>
      </w:r>
      <w:r>
        <w:rPr>
          <w:rFonts w:hint="eastAsia" w:ascii="方正小标宋_GBK" w:hAnsi="方正小标宋_GBK" w:eastAsia="方正小标宋_GBK" w:cs="方正小标宋_GBK"/>
          <w:sz w:val="70"/>
          <w:szCs w:val="70"/>
          <w:lang w:val="en-US" w:eastAsia="zh-CN"/>
        </w:rPr>
        <w:t xml:space="preserve"> </w:t>
      </w:r>
      <w:r>
        <w:rPr>
          <w:rFonts w:hint="eastAsia" w:ascii="方正小标宋_GBK" w:hAnsi="方正小标宋_GBK" w:eastAsia="方正小标宋_GBK" w:cs="方正小标宋_GBK"/>
          <w:sz w:val="70"/>
          <w:szCs w:val="70"/>
          <w:lang w:eastAsia="zh-CN"/>
        </w:rPr>
        <w:t>件</w:t>
      </w:r>
    </w:p>
    <w:p>
      <w:pPr>
        <w:ind w:firstLine="640" w:firstLineChars="200"/>
        <w:jc w:val="left"/>
        <w:rPr>
          <w:rFonts w:hint="eastAsia" w:ascii="宋体" w:hAnsi="宋体" w:eastAsia="宋体" w:cs="黑体"/>
          <w:b/>
          <w:color w:val="000000"/>
          <w:kern w:val="0"/>
          <w:sz w:val="32"/>
          <w:szCs w:val="32"/>
          <w:lang w:val="en-US" w:eastAsia="zh-CN"/>
        </w:rPr>
      </w:pPr>
    </w:p>
    <w:p>
      <w:pPr>
        <w:ind w:firstLine="640" w:firstLineChars="200"/>
        <w:jc w:val="left"/>
        <w:rPr>
          <w:rFonts w:hint="eastAsia"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1、</w:t>
      </w:r>
      <w:r>
        <w:rPr>
          <w:rFonts w:hint="eastAsia" w:ascii="宋体" w:hAnsi="宋体" w:eastAsia="宋体" w:cs="黑体"/>
          <w:b/>
          <w:color w:val="000000"/>
          <w:kern w:val="0"/>
          <w:sz w:val="32"/>
          <w:szCs w:val="32"/>
          <w:highlight w:val="none"/>
          <w:lang w:val="en-US" w:eastAsia="zh-CN"/>
        </w:rPr>
        <w:t>2024</w:t>
      </w:r>
      <w:r>
        <w:rPr>
          <w:rFonts w:hint="eastAsia" w:ascii="宋体" w:hAnsi="宋体" w:eastAsia="宋体" w:cs="黑体"/>
          <w:b/>
          <w:color w:val="000000"/>
          <w:kern w:val="0"/>
          <w:sz w:val="32"/>
          <w:szCs w:val="32"/>
          <w:lang w:val="en-US" w:eastAsia="zh-CN"/>
        </w:rPr>
        <w:t>年部门决算公开表格</w:t>
      </w:r>
    </w:p>
    <w:p>
      <w:pPr>
        <w:ind w:firstLine="640" w:firstLineChars="200"/>
        <w:jc w:val="left"/>
        <w:rPr>
          <w:rFonts w:hint="eastAsia" w:ascii="宋体" w:hAnsi="宋体" w:eastAsia="宋体" w:cs="黑体"/>
          <w:b/>
          <w:color w:val="000000"/>
          <w:kern w:val="0"/>
          <w:sz w:val="32"/>
          <w:szCs w:val="32"/>
        </w:rPr>
      </w:pPr>
      <w:r>
        <w:rPr>
          <w:rFonts w:hint="eastAsia" w:ascii="宋体" w:hAnsi="宋体" w:eastAsia="宋体" w:cs="黑体"/>
          <w:b/>
          <w:color w:val="000000"/>
          <w:kern w:val="0"/>
          <w:sz w:val="32"/>
          <w:szCs w:val="32"/>
          <w:lang w:val="en-US" w:eastAsia="zh-CN"/>
        </w:rPr>
        <w:t>2、</w:t>
      </w:r>
      <w:r>
        <w:rPr>
          <w:rFonts w:hint="eastAsia" w:ascii="宋体" w:hAnsi="宋体" w:eastAsia="宋体" w:cs="黑体"/>
          <w:b/>
          <w:color w:val="000000"/>
          <w:kern w:val="0"/>
          <w:sz w:val="32"/>
          <w:szCs w:val="32"/>
          <w:highlight w:val="none"/>
        </w:rPr>
        <w:t>202</w:t>
      </w:r>
      <w:r>
        <w:rPr>
          <w:rFonts w:hint="eastAsia" w:ascii="宋体" w:hAnsi="宋体" w:eastAsia="宋体" w:cs="黑体"/>
          <w:b/>
          <w:color w:val="000000"/>
          <w:kern w:val="0"/>
          <w:sz w:val="32"/>
          <w:szCs w:val="32"/>
          <w:highlight w:val="none"/>
          <w:lang w:val="en-US" w:eastAsia="zh-CN"/>
        </w:rPr>
        <w:t>4</w:t>
      </w:r>
      <w:r>
        <w:rPr>
          <w:rFonts w:hint="eastAsia" w:ascii="宋体" w:hAnsi="宋体" w:eastAsia="宋体" w:cs="黑体"/>
          <w:b/>
          <w:color w:val="000000"/>
          <w:kern w:val="0"/>
          <w:sz w:val="32"/>
          <w:szCs w:val="32"/>
        </w:rPr>
        <w:t>年度部门整体支出绩效评价报告</w:t>
      </w:r>
    </w:p>
    <w:p>
      <w:pPr>
        <w:ind w:firstLine="640" w:firstLineChars="200"/>
        <w:jc w:val="left"/>
        <w:rPr>
          <w:rFonts w:hint="default" w:ascii="宋体" w:hAnsi="宋体" w:eastAsia="宋体" w:cs="黑体"/>
          <w:b/>
          <w:color w:val="000000"/>
          <w:kern w:val="0"/>
          <w:sz w:val="32"/>
          <w:szCs w:val="32"/>
          <w:lang w:val="en-US" w:eastAsia="zh-CN"/>
        </w:rPr>
      </w:pPr>
      <w:r>
        <w:rPr>
          <w:rFonts w:hint="eastAsia" w:ascii="宋体" w:hAnsi="宋体" w:eastAsia="宋体" w:cs="黑体"/>
          <w:b/>
          <w:color w:val="000000"/>
          <w:kern w:val="0"/>
          <w:sz w:val="32"/>
          <w:szCs w:val="32"/>
          <w:lang w:val="en-US" w:eastAsia="zh-CN"/>
        </w:rPr>
        <w:t>3、2024年度部门整体支出绩效自评表</w:t>
      </w:r>
    </w:p>
    <w:p>
      <w:pPr>
        <w:ind w:firstLine="640" w:firstLineChars="200"/>
        <w:jc w:val="left"/>
        <w:rPr>
          <w:rFonts w:hint="eastAsia" w:ascii="宋体" w:hAnsi="宋体" w:eastAsia="宋体" w:cs="黑体"/>
          <w:b/>
          <w:color w:val="000000"/>
          <w:kern w:val="0"/>
          <w:sz w:val="32"/>
          <w:szCs w:val="32"/>
          <w:lang w:val="en-US" w:eastAsia="zh-CN"/>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2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A0000287" w:usb1="28C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F9"/>
    <w:rsid w:val="0002229B"/>
    <w:rsid w:val="000273BD"/>
    <w:rsid w:val="00040CBC"/>
    <w:rsid w:val="000415B7"/>
    <w:rsid w:val="00041E3F"/>
    <w:rsid w:val="00055DAA"/>
    <w:rsid w:val="00061F7B"/>
    <w:rsid w:val="000658A3"/>
    <w:rsid w:val="00074155"/>
    <w:rsid w:val="000A3F69"/>
    <w:rsid w:val="00103957"/>
    <w:rsid w:val="00152C6D"/>
    <w:rsid w:val="00162D39"/>
    <w:rsid w:val="001678BD"/>
    <w:rsid w:val="00182373"/>
    <w:rsid w:val="001A67DB"/>
    <w:rsid w:val="001C3C29"/>
    <w:rsid w:val="001D51E5"/>
    <w:rsid w:val="001E080D"/>
    <w:rsid w:val="001E53D0"/>
    <w:rsid w:val="001F0C3B"/>
    <w:rsid w:val="00202C82"/>
    <w:rsid w:val="00214427"/>
    <w:rsid w:val="00226CB7"/>
    <w:rsid w:val="00264552"/>
    <w:rsid w:val="00264EF9"/>
    <w:rsid w:val="00265724"/>
    <w:rsid w:val="0027426B"/>
    <w:rsid w:val="002E0A30"/>
    <w:rsid w:val="003130C4"/>
    <w:rsid w:val="00316C4B"/>
    <w:rsid w:val="0032192B"/>
    <w:rsid w:val="003479BD"/>
    <w:rsid w:val="0037197D"/>
    <w:rsid w:val="003768D5"/>
    <w:rsid w:val="003926B9"/>
    <w:rsid w:val="003C47E6"/>
    <w:rsid w:val="003C4FC2"/>
    <w:rsid w:val="00416E61"/>
    <w:rsid w:val="0042790C"/>
    <w:rsid w:val="004506F9"/>
    <w:rsid w:val="004717A2"/>
    <w:rsid w:val="00473DF3"/>
    <w:rsid w:val="00487911"/>
    <w:rsid w:val="00491741"/>
    <w:rsid w:val="004B0CEE"/>
    <w:rsid w:val="00500E5F"/>
    <w:rsid w:val="005122EF"/>
    <w:rsid w:val="0051441A"/>
    <w:rsid w:val="00517C33"/>
    <w:rsid w:val="00517D5F"/>
    <w:rsid w:val="00523644"/>
    <w:rsid w:val="0054069E"/>
    <w:rsid w:val="00544866"/>
    <w:rsid w:val="005767CC"/>
    <w:rsid w:val="00590D9F"/>
    <w:rsid w:val="00595D26"/>
    <w:rsid w:val="005A74E6"/>
    <w:rsid w:val="005B404E"/>
    <w:rsid w:val="005D4D55"/>
    <w:rsid w:val="005E2CFB"/>
    <w:rsid w:val="005F2103"/>
    <w:rsid w:val="005F3D1C"/>
    <w:rsid w:val="0062378F"/>
    <w:rsid w:val="00641842"/>
    <w:rsid w:val="00651EEC"/>
    <w:rsid w:val="00686673"/>
    <w:rsid w:val="00691E8C"/>
    <w:rsid w:val="006A22C4"/>
    <w:rsid w:val="006A351B"/>
    <w:rsid w:val="006B0422"/>
    <w:rsid w:val="006C1B53"/>
    <w:rsid w:val="006D7730"/>
    <w:rsid w:val="006E5284"/>
    <w:rsid w:val="006F3EB5"/>
    <w:rsid w:val="00702E34"/>
    <w:rsid w:val="00704395"/>
    <w:rsid w:val="00710FE7"/>
    <w:rsid w:val="00717621"/>
    <w:rsid w:val="00720FF1"/>
    <w:rsid w:val="00727A53"/>
    <w:rsid w:val="00787B42"/>
    <w:rsid w:val="007C4539"/>
    <w:rsid w:val="007F3657"/>
    <w:rsid w:val="00812ED5"/>
    <w:rsid w:val="008277D9"/>
    <w:rsid w:val="0084478C"/>
    <w:rsid w:val="0086638C"/>
    <w:rsid w:val="008A3E8D"/>
    <w:rsid w:val="009237C4"/>
    <w:rsid w:val="00944C48"/>
    <w:rsid w:val="00950252"/>
    <w:rsid w:val="00967F5D"/>
    <w:rsid w:val="009A0F95"/>
    <w:rsid w:val="009B3ADF"/>
    <w:rsid w:val="009B4D8E"/>
    <w:rsid w:val="009C3B52"/>
    <w:rsid w:val="009E6817"/>
    <w:rsid w:val="009E6E9A"/>
    <w:rsid w:val="00A01D2B"/>
    <w:rsid w:val="00A42218"/>
    <w:rsid w:val="00A70249"/>
    <w:rsid w:val="00A70B02"/>
    <w:rsid w:val="00A71D9F"/>
    <w:rsid w:val="00A92E9F"/>
    <w:rsid w:val="00AB18FF"/>
    <w:rsid w:val="00B33BEA"/>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415BA"/>
    <w:rsid w:val="00D63780"/>
    <w:rsid w:val="00D644EE"/>
    <w:rsid w:val="00DD06FF"/>
    <w:rsid w:val="00DD5FE9"/>
    <w:rsid w:val="00E00C7A"/>
    <w:rsid w:val="00E37D6C"/>
    <w:rsid w:val="00E55B68"/>
    <w:rsid w:val="00E561AE"/>
    <w:rsid w:val="00E67BE6"/>
    <w:rsid w:val="00E8683C"/>
    <w:rsid w:val="00EA2B72"/>
    <w:rsid w:val="00F74360"/>
    <w:rsid w:val="00FB462F"/>
    <w:rsid w:val="00FE16FA"/>
    <w:rsid w:val="00FE328A"/>
    <w:rsid w:val="00FE6269"/>
    <w:rsid w:val="00FF5CD6"/>
    <w:rsid w:val="03DE3866"/>
    <w:rsid w:val="055D544B"/>
    <w:rsid w:val="059958AD"/>
    <w:rsid w:val="064200BD"/>
    <w:rsid w:val="06853429"/>
    <w:rsid w:val="06C857E7"/>
    <w:rsid w:val="074F5EF1"/>
    <w:rsid w:val="075617EE"/>
    <w:rsid w:val="088A60AB"/>
    <w:rsid w:val="08C24A73"/>
    <w:rsid w:val="0E4711FC"/>
    <w:rsid w:val="11944E2C"/>
    <w:rsid w:val="11AC0F46"/>
    <w:rsid w:val="12583BA5"/>
    <w:rsid w:val="1261168F"/>
    <w:rsid w:val="13BA5B9C"/>
    <w:rsid w:val="18322A41"/>
    <w:rsid w:val="1C8D7DE8"/>
    <w:rsid w:val="1D97DEFF"/>
    <w:rsid w:val="1DFF72E5"/>
    <w:rsid w:val="1EFC6F07"/>
    <w:rsid w:val="1F0527A6"/>
    <w:rsid w:val="20485605"/>
    <w:rsid w:val="21B535DD"/>
    <w:rsid w:val="22AC03C2"/>
    <w:rsid w:val="283B15FE"/>
    <w:rsid w:val="287A594A"/>
    <w:rsid w:val="29A1535C"/>
    <w:rsid w:val="2CEC37BF"/>
    <w:rsid w:val="2E3F3DC3"/>
    <w:rsid w:val="2FDF85B8"/>
    <w:rsid w:val="2FFFEE04"/>
    <w:rsid w:val="31C95635"/>
    <w:rsid w:val="34DF85B0"/>
    <w:rsid w:val="354B444E"/>
    <w:rsid w:val="3A9337A6"/>
    <w:rsid w:val="3B8F36BC"/>
    <w:rsid w:val="3F26232B"/>
    <w:rsid w:val="43EB5BA5"/>
    <w:rsid w:val="454163AE"/>
    <w:rsid w:val="46E06D54"/>
    <w:rsid w:val="47C96CD1"/>
    <w:rsid w:val="48724552"/>
    <w:rsid w:val="491FF225"/>
    <w:rsid w:val="4D8C2625"/>
    <w:rsid w:val="4EC310A1"/>
    <w:rsid w:val="4FFD214C"/>
    <w:rsid w:val="5352765A"/>
    <w:rsid w:val="56BB709E"/>
    <w:rsid w:val="5777D4F5"/>
    <w:rsid w:val="57F22B6F"/>
    <w:rsid w:val="599C1311"/>
    <w:rsid w:val="59DD8326"/>
    <w:rsid w:val="5A1E525E"/>
    <w:rsid w:val="5DEF592A"/>
    <w:rsid w:val="5FC6BB1E"/>
    <w:rsid w:val="5FF720F1"/>
    <w:rsid w:val="622964C1"/>
    <w:rsid w:val="648211EF"/>
    <w:rsid w:val="676166A9"/>
    <w:rsid w:val="67FF5C0B"/>
    <w:rsid w:val="6BAA4A2F"/>
    <w:rsid w:val="6DDEC5C0"/>
    <w:rsid w:val="6E5F507E"/>
    <w:rsid w:val="6EFC0924"/>
    <w:rsid w:val="6FB74722"/>
    <w:rsid w:val="6FEF8B7E"/>
    <w:rsid w:val="706A1AFA"/>
    <w:rsid w:val="717FE77F"/>
    <w:rsid w:val="71A6591B"/>
    <w:rsid w:val="737D59BA"/>
    <w:rsid w:val="737F32B1"/>
    <w:rsid w:val="73BD3FCA"/>
    <w:rsid w:val="776BDA01"/>
    <w:rsid w:val="77C37683"/>
    <w:rsid w:val="78CE4D40"/>
    <w:rsid w:val="79FF515B"/>
    <w:rsid w:val="7B9F2F81"/>
    <w:rsid w:val="7C3621BA"/>
    <w:rsid w:val="7CC53B30"/>
    <w:rsid w:val="7DFBFF20"/>
    <w:rsid w:val="7E9E1962"/>
    <w:rsid w:val="7E9F11B4"/>
    <w:rsid w:val="7F37EC1E"/>
    <w:rsid w:val="7F7C0DDA"/>
    <w:rsid w:val="7F7DCD9D"/>
    <w:rsid w:val="7F970A6F"/>
    <w:rsid w:val="7FC1FFF3"/>
    <w:rsid w:val="7FC69637"/>
    <w:rsid w:val="7FDF8620"/>
    <w:rsid w:val="7FFB242F"/>
    <w:rsid w:val="7FFDB408"/>
    <w:rsid w:val="7FFE4EEB"/>
    <w:rsid w:val="95FB2B98"/>
    <w:rsid w:val="9A639BC2"/>
    <w:rsid w:val="9FF7D786"/>
    <w:rsid w:val="ABBFB23D"/>
    <w:rsid w:val="B6BE5A03"/>
    <w:rsid w:val="B8C93228"/>
    <w:rsid w:val="C3B4DA5A"/>
    <w:rsid w:val="C4FF458C"/>
    <w:rsid w:val="C7BBD038"/>
    <w:rsid w:val="CBFF70E0"/>
    <w:rsid w:val="CFF50B82"/>
    <w:rsid w:val="CFFFAD89"/>
    <w:rsid w:val="DFFE359E"/>
    <w:rsid w:val="DFFE4FFD"/>
    <w:rsid w:val="DFFF5403"/>
    <w:rsid w:val="EBC3E00A"/>
    <w:rsid w:val="EDFBE100"/>
    <w:rsid w:val="EEABED75"/>
    <w:rsid w:val="EF7E8003"/>
    <w:rsid w:val="F56FDF51"/>
    <w:rsid w:val="F5F3EE78"/>
    <w:rsid w:val="F6B69F17"/>
    <w:rsid w:val="F6E5BB3A"/>
    <w:rsid w:val="F77F1D61"/>
    <w:rsid w:val="F7FED3A9"/>
    <w:rsid w:val="F8C9DB26"/>
    <w:rsid w:val="F97E8EAE"/>
    <w:rsid w:val="FB36E1A6"/>
    <w:rsid w:val="FB3BE134"/>
    <w:rsid w:val="FCFF4275"/>
    <w:rsid w:val="FD7FEEEA"/>
    <w:rsid w:val="FDFFB577"/>
    <w:rsid w:val="FEEA50FE"/>
    <w:rsid w:val="FF7D47A9"/>
    <w:rsid w:val="FFCF21CB"/>
    <w:rsid w:val="FFF94102"/>
    <w:rsid w:val="FFFF1C8B"/>
    <w:rsid w:val="FFFF74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footnote text"/>
    <w:basedOn w:val="1"/>
    <w:next w:val="3"/>
    <w:semiHidden/>
    <w:qFormat/>
    <w:uiPriority w:val="0"/>
    <w:pPr>
      <w:snapToGrid w:val="0"/>
      <w:jc w:val="left"/>
    </w:pPr>
    <w:rPr>
      <w:sz w:val="18"/>
      <w:szCs w:val="18"/>
    </w:rPr>
  </w:style>
  <w:style w:type="paragraph" w:styleId="3">
    <w:name w:val="Body Text First Indent 2"/>
    <w:basedOn w:val="4"/>
    <w:next w:val="1"/>
    <w:unhideWhenUsed/>
    <w:qFormat/>
    <w:uiPriority w:val="99"/>
    <w:pPr>
      <w:ind w:firstLine="420" w:firstLineChars="200"/>
    </w:pPr>
  </w:style>
  <w:style w:type="paragraph" w:styleId="4">
    <w:name w:val="Body Text Indent"/>
    <w:basedOn w:val="1"/>
    <w:next w:val="3"/>
    <w:unhideWhenUsed/>
    <w:qFormat/>
    <w:uiPriority w:val="99"/>
    <w:pPr>
      <w:widowControl/>
      <w:spacing w:after="120"/>
      <w:ind w:left="420" w:leftChars="200"/>
      <w:jc w:val="left"/>
    </w:pPr>
    <w:rPr>
      <w:rFonts w:ascii="宋体" w:hAnsi="宋体" w:eastAsia="宋体" w:cs="宋体"/>
      <w:kern w:val="0"/>
      <w:sz w:val="24"/>
    </w:rPr>
  </w:style>
  <w:style w:type="paragraph" w:styleId="5">
    <w:name w:val="Balloon Text"/>
    <w:basedOn w:val="1"/>
    <w:link w:val="14"/>
    <w:semiHidden/>
    <w:unhideWhenUsed/>
    <w:qFormat/>
    <w:uiPriority w:val="99"/>
    <w:rPr>
      <w:sz w:val="18"/>
      <w:szCs w:val="18"/>
    </w:rPr>
  </w:style>
  <w:style w:type="paragraph" w:styleId="6">
    <w:name w:val="footer"/>
    <w:basedOn w:val="1"/>
    <w:link w:val="11"/>
    <w:unhideWhenUsed/>
    <w:qFormat/>
    <w:uiPriority w:val="99"/>
    <w:pPr>
      <w:tabs>
        <w:tab w:val="center" w:pos="4153"/>
        <w:tab w:val="right" w:pos="8306"/>
      </w:tabs>
      <w:snapToGrid w:val="0"/>
      <w:jc w:val="left"/>
    </w:pPr>
    <w:rPr>
      <w:sz w:val="18"/>
      <w:szCs w:val="18"/>
    </w:rPr>
  </w:style>
  <w:style w:type="paragraph" w:styleId="7">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0">
    <w:name w:val="页眉 Char"/>
    <w:basedOn w:val="9"/>
    <w:link w:val="7"/>
    <w:qFormat/>
    <w:uiPriority w:val="99"/>
    <w:rPr>
      <w:sz w:val="18"/>
      <w:szCs w:val="18"/>
    </w:rPr>
  </w:style>
  <w:style w:type="character" w:customStyle="1" w:styleId="11">
    <w:name w:val="页脚 Char"/>
    <w:basedOn w:val="9"/>
    <w:link w:val="6"/>
    <w:qFormat/>
    <w:uiPriority w:val="99"/>
    <w:rPr>
      <w:sz w:val="18"/>
      <w:szCs w:val="18"/>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3">
    <w:name w:val="List Paragraph"/>
    <w:basedOn w:val="1"/>
    <w:qFormat/>
    <w:uiPriority w:val="34"/>
    <w:pPr>
      <w:ind w:firstLine="420" w:firstLineChars="200"/>
    </w:pPr>
  </w:style>
  <w:style w:type="character" w:customStyle="1" w:styleId="14">
    <w:name w:val="批注框文本 Char"/>
    <w:basedOn w:val="9"/>
    <w:link w:val="5"/>
    <w:semiHidden/>
    <w:qFormat/>
    <w:uiPriority w:val="99"/>
    <w:rPr>
      <w:sz w:val="18"/>
      <w:szCs w:val="18"/>
    </w:rPr>
  </w:style>
  <w:style w:type="character" w:customStyle="1" w:styleId="15">
    <w:name w:val="font01"/>
    <w:basedOn w:val="9"/>
    <w:qFormat/>
    <w:uiPriority w:val="0"/>
    <w:rPr>
      <w:rFonts w:hint="eastAsia" w:ascii="宋体" w:hAnsi="宋体" w:eastAsia="宋体" w:cs="宋体"/>
      <w:color w:val="000000"/>
      <w:sz w:val="22"/>
      <w:szCs w:val="22"/>
      <w:u w:val="none"/>
    </w:rPr>
  </w:style>
  <w:style w:type="character" w:customStyle="1" w:styleId="16">
    <w:name w:val="font21"/>
    <w:basedOn w:val="9"/>
    <w:qFormat/>
    <w:uiPriority w:val="0"/>
    <w:rPr>
      <w:rFonts w:hint="eastAsia" w:ascii="宋体" w:hAnsi="宋体" w:eastAsia="宋体" w:cs="宋体"/>
      <w:color w:val="000000"/>
      <w:sz w:val="24"/>
      <w:szCs w:val="24"/>
      <w:u w:val="none"/>
    </w:rPr>
  </w:style>
  <w:style w:type="character" w:customStyle="1" w:styleId="17">
    <w:name w:val="font11"/>
    <w:basedOn w:val="9"/>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1347</Words>
  <Characters>7679</Characters>
  <Lines>63</Lines>
  <Paragraphs>18</Paragraphs>
  <TotalTime>18</TotalTime>
  <ScaleCrop>false</ScaleCrop>
  <LinksUpToDate>false</LinksUpToDate>
  <CharactersWithSpaces>9008</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2020-07-10T18:32:00Z</dcterms:created>
  <dc:creator>李航 null</dc:creator>
  <cp:lastModifiedBy>lily</cp:lastModifiedBy>
  <cp:lastPrinted>2024-08-11T02:20:00Z</cp:lastPrinted>
  <dcterms:modified xsi:type="dcterms:W3CDTF">2025-09-28T03:11:21Z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y fmtid="{D5CDD505-2E9C-101B-9397-08002B2CF9AE}" pid="3" name="ICV">
    <vt:lpwstr>1F250063554C4C5FB24F1E32466DBE9D</vt:lpwstr>
  </property>
</Properties>
</file>